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media/image1.png" ContentType="image/png"/>
  <Override PartName="/word/styles.xml" ContentType="application/vnd.openxmlformats-officedocument.wordprocessingml.styles+xml"/>
  <Override PartName="/word/header1.xml" ContentType="application/vnd.openxmlformats-officedocument.wordprocessingml.header+xml"/>
  <Override PartName="/word/theme/theme1.xml" ContentType="application/vnd.openxmlformats-officedocument.theme+xml"/>
  <Override PartName="/word/footer1.xml" ContentType="application/vnd.openxmlformats-officedocument.wordprocessingml.footer+xml"/>
  <Override PartName="/word/settings.xml" ContentType="application/vnd.openxmlformats-officedocument.wordprocessingml.settings+xml"/>
  <Override PartName="/word/numbering.xml" ContentType="application/vnd.openxmlformats-officedocument.wordprocessingml.numbering+xml"/>
  <Override PartName="/word/fontTable.xml" ContentType="application/vnd.openxmlformats-officedocument.wordprocessingml.fontTable+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tabs>
          <w:tab w:val="clear" w:pos="708"/>
          <w:tab w:val="left" w:pos="0" w:leader="none"/>
        </w:tabs>
        <w:spacing w:before="57" w:after="57"/>
        <w:jc w:val="center"/>
        <w:rPr>
          <w:b/>
          <w:b/>
          <w:bCs/>
          <w:sz w:val="20"/>
          <w:szCs w:val="20"/>
        </w:rPr>
      </w:pPr>
      <w:r>
        <w:drawing>
          <wp:anchor behindDoc="0" distT="0" distB="0" distL="0" distR="0" simplePos="0" locked="0" layoutInCell="0" allowOverlap="1" relativeHeight="2">
            <wp:simplePos x="0" y="0"/>
            <wp:positionH relativeFrom="character">
              <wp:posOffset>273050</wp:posOffset>
            </wp:positionH>
            <wp:positionV relativeFrom="paragraph">
              <wp:posOffset>635</wp:posOffset>
            </wp:positionV>
            <wp:extent cx="692150" cy="605790"/>
            <wp:effectExtent l="0" t="0" r="0" b="0"/>
            <wp:wrapTopAndBottom/>
            <wp:docPr id="1" name="Picture"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descr=""/>
                    <pic:cNvPicPr>
                      <a:picLocks noChangeAspect="1" noChangeArrowheads="1"/>
                    </pic:cNvPicPr>
                  </pic:nvPicPr>
                  <pic:blipFill>
                    <a:blip r:embed="rId2"/>
                    <a:stretch>
                      <a:fillRect/>
                    </a:stretch>
                  </pic:blipFill>
                  <pic:spPr bwMode="auto">
                    <a:xfrm>
                      <a:off x="0" y="0"/>
                      <a:ext cx="692150" cy="605790"/>
                    </a:xfrm>
                    <a:prstGeom prst="rect">
                      <a:avLst/>
                    </a:prstGeom>
                  </pic:spPr>
                </pic:pic>
              </a:graphicData>
            </a:graphic>
          </wp:anchor>
        </w:drawing>
      </w:r>
      <w:r>
        <w:rPr>
          <w:rFonts w:cs="Calibri Light" w:ascii="Calibri Light" w:hAnsi="Calibri Light"/>
          <w:b/>
          <w:bCs/>
          <w:color w:val="000000"/>
          <w:sz w:val="20"/>
          <w:szCs w:val="20"/>
        </w:rPr>
        <w:t>MINISTÉRIO DA DEFESA</w:t>
      </w:r>
    </w:p>
    <w:p>
      <w:pPr>
        <w:pStyle w:val="Normal"/>
        <w:tabs>
          <w:tab w:val="clear" w:pos="708"/>
          <w:tab w:val="left" w:pos="0" w:leader="none"/>
        </w:tabs>
        <w:spacing w:before="57" w:after="57"/>
        <w:jc w:val="center"/>
        <w:rPr>
          <w:b/>
          <w:b/>
          <w:bCs/>
          <w:sz w:val="20"/>
          <w:szCs w:val="20"/>
        </w:rPr>
      </w:pPr>
      <w:r>
        <w:rPr>
          <w:rFonts w:cs="Calibri Light" w:ascii="Calibri Light" w:hAnsi="Calibri Light"/>
          <w:b/>
          <w:bCs/>
          <w:color w:val="000000"/>
          <w:sz w:val="20"/>
          <w:szCs w:val="20"/>
        </w:rPr>
        <w:t>EXÉRCITO BRASILEIRO</w:t>
      </w:r>
    </w:p>
    <w:p>
      <w:pPr>
        <w:pStyle w:val="Normal"/>
        <w:tabs>
          <w:tab w:val="clear" w:pos="708"/>
          <w:tab w:val="left" w:pos="0" w:leader="none"/>
        </w:tabs>
        <w:spacing w:before="57" w:after="57"/>
        <w:jc w:val="center"/>
        <w:rPr>
          <w:b/>
          <w:b/>
          <w:bCs/>
          <w:sz w:val="20"/>
          <w:szCs w:val="20"/>
        </w:rPr>
      </w:pPr>
      <w:r>
        <w:rPr>
          <w:rFonts w:cs="Calibri Light" w:ascii="Calibri Light" w:hAnsi="Calibri Light"/>
          <w:b/>
          <w:bCs/>
          <w:caps/>
          <w:color w:val="000000"/>
          <w:sz w:val="20"/>
          <w:szCs w:val="20"/>
        </w:rPr>
        <w:t>Parque Regional De Manutenção/6</w:t>
      </w:r>
    </w:p>
    <w:p>
      <w:pPr>
        <w:pStyle w:val="Normal"/>
        <w:tabs>
          <w:tab w:val="clear" w:pos="708"/>
          <w:tab w:val="left" w:pos="0" w:leader="none"/>
        </w:tabs>
        <w:spacing w:before="57" w:after="57"/>
        <w:ind w:right="-15" w:hanging="0"/>
        <w:jc w:val="center"/>
        <w:rPr>
          <w:b/>
          <w:b/>
          <w:bCs/>
          <w:sz w:val="20"/>
          <w:szCs w:val="20"/>
        </w:rPr>
      </w:pPr>
      <w:r>
        <w:rPr>
          <w:rFonts w:eastAsia="Arial Unicode MS" w:cs="Arial" w:ascii="Calibri Light" w:hAnsi="Calibri Light"/>
          <w:b/>
          <w:bCs/>
          <w:i/>
          <w:color w:val="000000"/>
          <w:sz w:val="20"/>
          <w:szCs w:val="20"/>
          <w:u w:val="single"/>
        </w:rPr>
        <w:t>(Pq R MB 6ª RM / 1947)</w:t>
      </w:r>
      <w:bookmarkStart w:id="0" w:name="_Hlk82471863"/>
    </w:p>
    <w:p>
      <w:pPr>
        <w:pStyle w:val="Normal"/>
        <w:spacing w:lineRule="auto" w:line="312" w:before="120" w:after="288"/>
        <w:jc w:val="center"/>
        <w:rPr>
          <w:rFonts w:ascii="Arial" w:hAnsi="Arial" w:cs="Arial"/>
          <w:bCs/>
          <w:color w:val="000000"/>
          <w:sz w:val="20"/>
          <w:szCs w:val="20"/>
        </w:rPr>
      </w:pPr>
      <w:r>
        <w:rPr>
          <w:rFonts w:cs="Arial" w:ascii="Arial" w:hAnsi="Arial"/>
          <w:color w:val="000000"/>
          <w:sz w:val="20"/>
          <w:szCs w:val="20"/>
        </w:rPr>
        <w:t>(Processo Administrativo n</w:t>
      </w:r>
      <w:r>
        <w:rPr>
          <w:rFonts w:cs="Arial" w:ascii="Arial" w:hAnsi="Arial"/>
          <w:bCs/>
          <w:color w:val="000000"/>
          <w:sz w:val="20"/>
          <w:szCs w:val="20"/>
        </w:rPr>
        <w:t>°</w:t>
      </w:r>
      <w:r>
        <w:rPr>
          <w:rStyle w:val="Fontepargpadro"/>
          <w:rFonts w:eastAsia="ＭＳ 明朝" w:cs="Calibri Light" w:ascii="aRIAL" w:hAnsi="aRIAL"/>
          <w:b w:val="false"/>
          <w:bCs w:val="false"/>
          <w:color w:val="000000"/>
          <w:kern w:val="0"/>
          <w:sz w:val="20"/>
          <w:szCs w:val="20"/>
          <w:u w:val="none"/>
          <w:shd w:fill="FFFFFF" w:val="clear"/>
          <w:lang w:val="pt-BR" w:eastAsia="pt-BR" w:bidi="ar-SA"/>
        </w:rPr>
        <w:t>64620.000209/2024-34</w:t>
      </w:r>
      <w:r>
        <w:rPr>
          <w:rFonts w:cs="Arial" w:ascii="Arial" w:hAnsi="Arial"/>
          <w:bCs/>
          <w:color w:val="000000"/>
          <w:sz w:val="20"/>
          <w:szCs w:val="20"/>
        </w:rPr>
        <w:t>)</w:t>
      </w:r>
    </w:p>
    <w:p>
      <w:pPr>
        <w:pStyle w:val="Normal"/>
        <w:numPr>
          <w:ilvl w:val="0"/>
          <w:numId w:val="2"/>
        </w:numPr>
        <w:ind w:left="0" w:hanging="0"/>
        <w:rPr>
          <w:rFonts w:eastAsia="Arial"/>
        </w:rPr>
      </w:pPr>
      <w:r>
        <w:rPr/>
        <w:t>CONDIÇÕES GERAIS DA CONTRATAÇÃO</w:t>
      </w:r>
    </w:p>
    <w:p>
      <w:pPr>
        <w:pStyle w:val="Normal"/>
        <w:numPr>
          <w:ilvl w:val="1"/>
          <w:numId w:val="1"/>
        </w:numPr>
        <w:spacing w:lineRule="auto" w:line="276" w:before="120" w:after="120"/>
        <w:ind w:left="0" w:hanging="0"/>
        <w:jc w:val="both"/>
        <w:rPr/>
      </w:pPr>
      <w:r>
        <w:rPr/>
        <w:t>Aquisição de EQUIPAMENTOS M</w:t>
      </w:r>
      <w:r>
        <w:rPr>
          <w:rFonts w:eastAsia="ＭＳ 明朝" w:cs="Arial"/>
          <w:color w:val="000000"/>
          <w:kern w:val="0"/>
          <w:sz w:val="20"/>
          <w:szCs w:val="20"/>
          <w:lang w:val="pt-BR" w:eastAsia="pt-BR" w:bidi="ar-SA"/>
        </w:rPr>
        <w:t>ÉDICO-HOSPITALAR E ODONTOLÓGICO para atender necessidade do PASSEX</w:t>
      </w:r>
      <w:r>
        <w:rPr/>
        <w:t>, nos termos da tabela abaixo, conforme condições e exigências estabelecidas neste instrumento.</w:t>
      </w:r>
    </w:p>
    <w:p>
      <w:pPr>
        <w:pStyle w:val="Normal"/>
        <w:rPr/>
      </w:pPr>
      <w:r>
        <w:rPr/>
      </w:r>
    </w:p>
    <w:tbl>
      <w:tblPr>
        <w:tblW w:w="9859" w:type="dxa"/>
        <w:jc w:val="left"/>
        <w:tblInd w:w="-40" w:type="dxa"/>
        <w:tblLayout w:type="fixed"/>
        <w:tblCellMar>
          <w:top w:w="55" w:type="dxa"/>
          <w:left w:w="55" w:type="dxa"/>
          <w:bottom w:w="55" w:type="dxa"/>
          <w:right w:w="55" w:type="dxa"/>
        </w:tblCellMar>
      </w:tblPr>
      <w:tblGrid>
        <w:gridCol w:w="731"/>
        <w:gridCol w:w="1088"/>
        <w:gridCol w:w="2662"/>
        <w:gridCol w:w="1642"/>
        <w:gridCol w:w="1133"/>
        <w:gridCol w:w="1369"/>
        <w:gridCol w:w="1234"/>
      </w:tblGrid>
      <w:tr>
        <w:trPr>
          <w:trHeight w:val="750" w:hRule="atLeast"/>
        </w:trPr>
        <w:tc>
          <w:tcPr>
            <w:tcW w:w="731"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b/>
                <w:b/>
                <w:sz w:val="20"/>
                <w:szCs w:val="20"/>
              </w:rPr>
            </w:pPr>
            <w:r>
              <w:rPr>
                <w:b/>
                <w:sz w:val="20"/>
                <w:szCs w:val="20"/>
              </w:rPr>
              <w:t>Ord</w:t>
            </w:r>
          </w:p>
        </w:tc>
        <w:tc>
          <w:tcPr>
            <w:tcW w:w="1088"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b/>
                <w:b/>
                <w:sz w:val="20"/>
                <w:szCs w:val="20"/>
              </w:rPr>
            </w:pPr>
            <w:r>
              <w:rPr>
                <w:b/>
                <w:sz w:val="20"/>
                <w:szCs w:val="20"/>
              </w:rPr>
              <w:t>Catmat</w:t>
            </w:r>
          </w:p>
        </w:tc>
        <w:tc>
          <w:tcPr>
            <w:tcW w:w="2662"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b/>
                <w:b/>
                <w:sz w:val="20"/>
                <w:szCs w:val="20"/>
              </w:rPr>
            </w:pPr>
            <w:r>
              <w:rPr>
                <w:b/>
                <w:sz w:val="20"/>
                <w:szCs w:val="20"/>
              </w:rPr>
              <w:t>Material</w:t>
            </w:r>
          </w:p>
        </w:tc>
        <w:tc>
          <w:tcPr>
            <w:tcW w:w="1642"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sz w:val="20"/>
                <w:szCs w:val="20"/>
              </w:rPr>
            </w:pPr>
            <w:r>
              <w:rPr>
                <w:b/>
                <w:sz w:val="20"/>
                <w:szCs w:val="20"/>
              </w:rPr>
              <w:t xml:space="preserve">Und. </w:t>
            </w:r>
            <w:r>
              <w:rPr>
                <w:sz w:val="20"/>
                <w:szCs w:val="20"/>
              </w:rPr>
              <w:br/>
            </w:r>
            <w:r>
              <w:rPr>
                <w:b/>
                <w:sz w:val="20"/>
                <w:szCs w:val="20"/>
              </w:rPr>
              <w:t>Mdd.</w:t>
            </w:r>
          </w:p>
        </w:tc>
        <w:tc>
          <w:tcPr>
            <w:tcW w:w="1133"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b/>
                <w:b/>
                <w:sz w:val="20"/>
                <w:szCs w:val="20"/>
              </w:rPr>
            </w:pPr>
            <w:r>
              <w:rPr>
                <w:b/>
                <w:sz w:val="20"/>
                <w:szCs w:val="20"/>
              </w:rPr>
              <w:t>Qnt.</w:t>
            </w:r>
          </w:p>
        </w:tc>
        <w:tc>
          <w:tcPr>
            <w:tcW w:w="1369" w:type="dxa"/>
            <w:tcBorders>
              <w:top w:val="single" w:sz="8" w:space="0" w:color="000000"/>
              <w:left w:val="single" w:sz="8" w:space="0" w:color="000000"/>
              <w:bottom w:val="single" w:sz="8" w:space="0" w:color="000000"/>
            </w:tcBorders>
            <w:shd w:fill="CCCCCC" w:val="clear"/>
            <w:vAlign w:val="center"/>
          </w:tcPr>
          <w:p>
            <w:pPr>
              <w:pStyle w:val="Normal"/>
              <w:tabs>
                <w:tab w:val="clear" w:pos="708"/>
              </w:tabs>
              <w:jc w:val="center"/>
              <w:rPr>
                <w:b/>
                <w:b/>
                <w:sz w:val="20"/>
                <w:szCs w:val="20"/>
              </w:rPr>
            </w:pPr>
            <w:r>
              <w:rPr>
                <w:b/>
                <w:sz w:val="20"/>
                <w:szCs w:val="20"/>
              </w:rPr>
              <w:t>V. Unitário</w:t>
            </w:r>
          </w:p>
        </w:tc>
        <w:tc>
          <w:tcPr>
            <w:tcW w:w="1234" w:type="dxa"/>
            <w:tcBorders>
              <w:top w:val="single" w:sz="8" w:space="0" w:color="000000"/>
              <w:left w:val="single" w:sz="8" w:space="0" w:color="000000"/>
              <w:bottom w:val="single" w:sz="8" w:space="0" w:color="000000"/>
              <w:right w:val="single" w:sz="8" w:space="0" w:color="000000"/>
            </w:tcBorders>
            <w:shd w:fill="CCCCCC" w:val="clear"/>
            <w:vAlign w:val="center"/>
          </w:tcPr>
          <w:p>
            <w:pPr>
              <w:pStyle w:val="Normal"/>
              <w:tabs>
                <w:tab w:val="clear" w:pos="708"/>
              </w:tabs>
              <w:jc w:val="center"/>
              <w:rPr>
                <w:b/>
                <w:b/>
                <w:sz w:val="20"/>
                <w:szCs w:val="20"/>
              </w:rPr>
            </w:pPr>
            <w:r>
              <w:rPr>
                <w:b/>
                <w:sz w:val="20"/>
                <w:szCs w:val="20"/>
              </w:rPr>
              <w:t xml:space="preserve">V. </w:t>
            </w:r>
            <w:r>
              <w:rPr>
                <w:b/>
                <w:sz w:val="20"/>
                <w:szCs w:val="20"/>
              </w:rPr>
              <w:t>total</w:t>
            </w:r>
          </w:p>
        </w:tc>
      </w:tr>
      <w:tr>
        <w:trPr>
          <w:trHeight w:val="1375" w:hRule="atLeast"/>
        </w:trPr>
        <w:tc>
          <w:tcPr>
            <w:tcW w:w="731" w:type="dxa"/>
            <w:tcBorders>
              <w:left w:val="single" w:sz="8" w:space="0" w:color="000000"/>
              <w:bottom w:val="single" w:sz="8" w:space="0" w:color="000000"/>
            </w:tcBorders>
            <w:vAlign w:val="center"/>
          </w:tcPr>
          <w:p>
            <w:pPr>
              <w:pStyle w:val="Normal"/>
              <w:tabs>
                <w:tab w:val="clear" w:pos="708"/>
                <w:tab w:val="left" w:pos="8100" w:leader="none"/>
                <w:tab w:val="left" w:pos="8820" w:leader="none"/>
              </w:tabs>
              <w:snapToGrid w:val="false"/>
              <w:jc w:val="center"/>
              <w:rPr>
                <w:rFonts w:ascii="CALIBRI LIGHT" w:hAnsi="CALIBRI LIGHT"/>
                <w:b w:val="false"/>
                <w:b w:val="false"/>
                <w:bCs w:val="false"/>
                <w:i w:val="false"/>
                <w:i w:val="false"/>
                <w:strike w:val="false"/>
                <w:dstrike w:val="false"/>
                <w:outline w:val="false"/>
                <w:shadow w:val="false"/>
                <w:sz w:val="20"/>
                <w:szCs w:val="20"/>
                <w:u w:val="none"/>
                <w:shd w:fill="FFFFFF" w:val="clear"/>
                <w:em w:val="none"/>
              </w:rPr>
            </w:pPr>
            <w:r>
              <w:rPr>
                <w:rFonts w:ascii="CALIBRI LIGHT" w:hAnsi="CALIBRI LIGHT"/>
                <w:b w:val="false"/>
                <w:bCs w:val="false"/>
                <w:i w:val="false"/>
                <w:strike w:val="false"/>
                <w:dstrike w:val="false"/>
                <w:outline w:val="false"/>
                <w:shadow w:val="false"/>
                <w:sz w:val="20"/>
                <w:szCs w:val="20"/>
                <w:u w:val="none"/>
                <w:shd w:fill="FFFFFF" w:val="clear"/>
                <w:em w:val="none"/>
              </w:rPr>
              <w:t>01</w:t>
            </w:r>
          </w:p>
        </w:tc>
        <w:tc>
          <w:tcPr>
            <w:tcW w:w="1088"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413691</w:t>
            </w:r>
          </w:p>
        </w:tc>
        <w:tc>
          <w:tcPr>
            <w:tcW w:w="2662" w:type="dxa"/>
            <w:tcBorders>
              <w:left w:val="single" w:sz="8" w:space="0" w:color="000000"/>
              <w:bottom w:val="single" w:sz="8" w:space="0" w:color="000000"/>
            </w:tcBorders>
            <w:vAlign w:val="center"/>
          </w:tcPr>
          <w:p>
            <w:pPr>
              <w:pStyle w:val="Normal"/>
              <w:tabs>
                <w:tab w:val="clear" w:pos="708"/>
              </w:tabs>
              <w:jc w:val="both"/>
              <w:rPr>
                <w:rFonts w:ascii="Liberation Serif" w:hAnsi="Liberation Serif"/>
                <w:sz w:val="20"/>
                <w:szCs w:val="20"/>
              </w:rPr>
            </w:pPr>
            <w:r>
              <w:rPr>
                <w:rFonts w:ascii="Liberation Serif" w:hAnsi="Liberation Serif"/>
                <w:sz w:val="20"/>
                <w:szCs w:val="20"/>
              </w:rPr>
              <w:t>Equipamento Odontológico Aspecto Físico: Motor De Bancada , Componentes: Base, Micromotor, Peça Reta, Pedal , Componentes Adicionais: Cabo, Suporte Acrílico , Característica Adicional: Até 30.000 Rpm , Fonte: Elétrico , Tipo: P/ Prótese , Instalação: 127/220 V</w:t>
            </w:r>
          </w:p>
        </w:tc>
        <w:tc>
          <w:tcPr>
            <w:tcW w:w="1642"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UND</w:t>
            </w:r>
          </w:p>
        </w:tc>
        <w:tc>
          <w:tcPr>
            <w:tcW w:w="1133"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01</w:t>
            </w:r>
          </w:p>
        </w:tc>
        <w:tc>
          <w:tcPr>
            <w:tcW w:w="1369"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1.526,56</w:t>
            </w:r>
          </w:p>
        </w:tc>
        <w:tc>
          <w:tcPr>
            <w:tcW w:w="1234" w:type="dxa"/>
            <w:tcBorders>
              <w:left w:val="single" w:sz="8" w:space="0" w:color="000000"/>
              <w:bottom w:val="single" w:sz="8" w:space="0" w:color="000000"/>
              <w:right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1.526,56</w:t>
            </w:r>
          </w:p>
        </w:tc>
      </w:tr>
      <w:tr>
        <w:trPr>
          <w:trHeight w:val="550" w:hRule="atLeast"/>
        </w:trPr>
        <w:tc>
          <w:tcPr>
            <w:tcW w:w="731" w:type="dxa"/>
            <w:tcBorders>
              <w:left w:val="single" w:sz="8" w:space="0" w:color="000000"/>
              <w:bottom w:val="single" w:sz="8" w:space="0" w:color="000000"/>
            </w:tcBorders>
            <w:vAlign w:val="center"/>
          </w:tcPr>
          <w:p>
            <w:pPr>
              <w:pStyle w:val="Normal"/>
              <w:tabs>
                <w:tab w:val="clear" w:pos="708"/>
                <w:tab w:val="left" w:pos="8100" w:leader="none"/>
                <w:tab w:val="left" w:pos="8820" w:leader="none"/>
              </w:tabs>
              <w:snapToGrid w:val="false"/>
              <w:jc w:val="center"/>
              <w:rPr>
                <w:rFonts w:ascii="CALIBRI LIGHT" w:hAnsi="CALIBRI LIGHT"/>
                <w:b w:val="false"/>
                <w:b w:val="false"/>
                <w:bCs w:val="false"/>
                <w:i w:val="false"/>
                <w:i w:val="false"/>
                <w:strike w:val="false"/>
                <w:dstrike w:val="false"/>
                <w:outline w:val="false"/>
                <w:shadow w:val="false"/>
                <w:sz w:val="20"/>
                <w:szCs w:val="20"/>
                <w:u w:val="none"/>
                <w:shd w:fill="FFFFFF" w:val="clear"/>
                <w:em w:val="none"/>
              </w:rPr>
            </w:pPr>
            <w:r>
              <w:rPr>
                <w:rFonts w:ascii="CALIBRI LIGHT" w:hAnsi="CALIBRI LIGHT"/>
                <w:b w:val="false"/>
                <w:bCs w:val="false"/>
                <w:i w:val="false"/>
                <w:strike w:val="false"/>
                <w:dstrike w:val="false"/>
                <w:outline w:val="false"/>
                <w:shadow w:val="false"/>
                <w:sz w:val="20"/>
                <w:szCs w:val="20"/>
                <w:u w:val="none"/>
                <w:shd w:fill="FFFFFF" w:val="clear"/>
                <w:em w:val="none"/>
              </w:rPr>
              <w:t>02</w:t>
            </w:r>
          </w:p>
        </w:tc>
        <w:tc>
          <w:tcPr>
            <w:tcW w:w="1088"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468391</w:t>
            </w:r>
          </w:p>
        </w:tc>
        <w:tc>
          <w:tcPr>
            <w:tcW w:w="2662" w:type="dxa"/>
            <w:tcBorders>
              <w:left w:val="single" w:sz="8" w:space="0" w:color="000000"/>
              <w:bottom w:val="single" w:sz="8" w:space="0" w:color="000000"/>
            </w:tcBorders>
            <w:vAlign w:val="center"/>
          </w:tcPr>
          <w:p>
            <w:pPr>
              <w:pStyle w:val="Normal"/>
              <w:tabs>
                <w:tab w:val="clear" w:pos="708"/>
              </w:tabs>
              <w:jc w:val="both"/>
              <w:rPr>
                <w:rFonts w:ascii="Liberation Serif" w:hAnsi="Liberation Serif"/>
                <w:sz w:val="20"/>
                <w:szCs w:val="20"/>
              </w:rPr>
            </w:pPr>
            <w:r>
              <w:rPr>
                <w:rFonts w:ascii="Liberation Serif" w:hAnsi="Liberation Serif"/>
                <w:sz w:val="20"/>
                <w:szCs w:val="20"/>
              </w:rPr>
              <w:t>Caneta Baixa Rotação Torque: Torque Maior Ou Igual 50 N CM, Característica Adicional: C/ Led , Relação Transmissão: Transmissão 20:1 , Troca De Broca: Trava Lt/Fg , Refrigeração: C/ Refrigeração Externa , Tipo: Contra Ângulo , Tipo Cabeça: Cabeça Padrão</w:t>
            </w:r>
          </w:p>
        </w:tc>
        <w:tc>
          <w:tcPr>
            <w:tcW w:w="1642"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UND</w:t>
            </w:r>
          </w:p>
        </w:tc>
        <w:tc>
          <w:tcPr>
            <w:tcW w:w="1133"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0</w:t>
            </w:r>
            <w:r>
              <w:rPr>
                <w:rFonts w:ascii="Liberation Serif" w:hAnsi="Liberation Serif"/>
                <w:sz w:val="20"/>
                <w:szCs w:val="20"/>
              </w:rPr>
              <w:t>2</w:t>
            </w:r>
          </w:p>
        </w:tc>
        <w:tc>
          <w:tcPr>
            <w:tcW w:w="1369"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2.158,11</w:t>
            </w:r>
          </w:p>
        </w:tc>
        <w:tc>
          <w:tcPr>
            <w:tcW w:w="1234" w:type="dxa"/>
            <w:tcBorders>
              <w:left w:val="single" w:sz="8" w:space="0" w:color="000000"/>
              <w:bottom w:val="single" w:sz="8" w:space="0" w:color="000000"/>
              <w:right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4.316,22</w:t>
            </w:r>
          </w:p>
        </w:tc>
      </w:tr>
      <w:tr>
        <w:trPr>
          <w:trHeight w:val="825" w:hRule="atLeast"/>
        </w:trPr>
        <w:tc>
          <w:tcPr>
            <w:tcW w:w="731" w:type="dxa"/>
            <w:tcBorders>
              <w:left w:val="single" w:sz="8" w:space="0" w:color="000000"/>
              <w:bottom w:val="single" w:sz="8" w:space="0" w:color="000000"/>
            </w:tcBorders>
            <w:vAlign w:val="center"/>
          </w:tcPr>
          <w:p>
            <w:pPr>
              <w:pStyle w:val="Normal"/>
              <w:tabs>
                <w:tab w:val="clear" w:pos="708"/>
                <w:tab w:val="left" w:pos="8100" w:leader="none"/>
                <w:tab w:val="left" w:pos="8820" w:leader="none"/>
              </w:tabs>
              <w:snapToGrid w:val="false"/>
              <w:jc w:val="center"/>
              <w:rPr>
                <w:rFonts w:ascii="CALIBRI LIGHT" w:hAnsi="CALIBRI LIGHT"/>
                <w:b w:val="false"/>
                <w:b w:val="false"/>
                <w:bCs w:val="false"/>
                <w:i w:val="false"/>
                <w:i w:val="false"/>
                <w:strike w:val="false"/>
                <w:dstrike w:val="false"/>
                <w:outline w:val="false"/>
                <w:shadow w:val="false"/>
                <w:sz w:val="20"/>
                <w:szCs w:val="20"/>
                <w:u w:val="none"/>
                <w:shd w:fill="FFFFFF" w:val="clear"/>
                <w:em w:val="none"/>
              </w:rPr>
            </w:pPr>
            <w:r>
              <w:rPr>
                <w:rFonts w:ascii="CALIBRI LIGHT" w:hAnsi="CALIBRI LIGHT"/>
                <w:b w:val="false"/>
                <w:bCs w:val="false"/>
                <w:i w:val="false"/>
                <w:strike w:val="false"/>
                <w:dstrike w:val="false"/>
                <w:outline w:val="false"/>
                <w:shadow w:val="false"/>
                <w:sz w:val="20"/>
                <w:szCs w:val="20"/>
                <w:u w:val="none"/>
                <w:shd w:fill="FFFFFF" w:val="clear"/>
                <w:em w:val="none"/>
              </w:rPr>
              <w:t>03</w:t>
            </w:r>
          </w:p>
        </w:tc>
        <w:tc>
          <w:tcPr>
            <w:tcW w:w="1088"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407016</w:t>
            </w:r>
          </w:p>
        </w:tc>
        <w:tc>
          <w:tcPr>
            <w:tcW w:w="2662" w:type="dxa"/>
            <w:tcBorders>
              <w:left w:val="single" w:sz="8" w:space="0" w:color="000000"/>
              <w:bottom w:val="single" w:sz="8" w:space="0" w:color="000000"/>
            </w:tcBorders>
            <w:vAlign w:val="center"/>
          </w:tcPr>
          <w:p>
            <w:pPr>
              <w:pStyle w:val="Normal"/>
              <w:tabs>
                <w:tab w:val="clear" w:pos="708"/>
              </w:tabs>
              <w:jc w:val="both"/>
              <w:rPr>
                <w:rFonts w:ascii="Liberation Serif" w:hAnsi="Liberation Serif"/>
                <w:sz w:val="20"/>
                <w:szCs w:val="20"/>
              </w:rPr>
            </w:pPr>
            <w:r>
              <w:rPr>
                <w:rFonts w:ascii="Liberation Serif" w:hAnsi="Liberation Serif"/>
                <w:sz w:val="20"/>
                <w:szCs w:val="20"/>
              </w:rPr>
              <w:t>C</w:t>
            </w:r>
            <w:r>
              <w:rPr>
                <w:rFonts w:ascii="Liberation Serif" w:hAnsi="Liberation Serif"/>
                <w:sz w:val="20"/>
                <w:szCs w:val="20"/>
              </w:rPr>
              <w:t>aneta Baixa Rotação Refrigeração: C/ Refrigeração Externa , Tipo: Micromotor , Conexão: Conexão Borden 2 Furos</w:t>
            </w:r>
          </w:p>
        </w:tc>
        <w:tc>
          <w:tcPr>
            <w:tcW w:w="1642"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UND</w:t>
            </w:r>
          </w:p>
        </w:tc>
        <w:tc>
          <w:tcPr>
            <w:tcW w:w="1133"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02</w:t>
            </w:r>
          </w:p>
        </w:tc>
        <w:tc>
          <w:tcPr>
            <w:tcW w:w="1369"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729,25</w:t>
            </w:r>
          </w:p>
        </w:tc>
        <w:tc>
          <w:tcPr>
            <w:tcW w:w="1234" w:type="dxa"/>
            <w:tcBorders>
              <w:left w:val="single" w:sz="8" w:space="0" w:color="000000"/>
              <w:bottom w:val="single" w:sz="8" w:space="0" w:color="000000"/>
              <w:right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1.458,50</w:t>
            </w:r>
          </w:p>
        </w:tc>
      </w:tr>
      <w:tr>
        <w:trPr>
          <w:trHeight w:val="825" w:hRule="atLeast"/>
        </w:trPr>
        <w:tc>
          <w:tcPr>
            <w:tcW w:w="731" w:type="dxa"/>
            <w:tcBorders>
              <w:left w:val="single" w:sz="8" w:space="0" w:color="000000"/>
              <w:bottom w:val="single" w:sz="8" w:space="0" w:color="000000"/>
            </w:tcBorders>
            <w:vAlign w:val="center"/>
          </w:tcPr>
          <w:p>
            <w:pPr>
              <w:pStyle w:val="Normal"/>
              <w:tabs>
                <w:tab w:val="clear" w:pos="708"/>
                <w:tab w:val="left" w:pos="8100" w:leader="none"/>
                <w:tab w:val="left" w:pos="8820" w:leader="none"/>
              </w:tabs>
              <w:snapToGrid w:val="false"/>
              <w:jc w:val="center"/>
              <w:rPr>
                <w:rFonts w:ascii="CALIBRI LIGHT" w:hAnsi="CALIBRI LIGHT"/>
                <w:b w:val="false"/>
                <w:b w:val="false"/>
                <w:bCs w:val="false"/>
                <w:i w:val="false"/>
                <w:i w:val="false"/>
                <w:strike w:val="false"/>
                <w:dstrike w:val="false"/>
                <w:outline w:val="false"/>
                <w:shadow w:val="false"/>
                <w:sz w:val="20"/>
                <w:szCs w:val="20"/>
                <w:u w:val="none"/>
                <w:shd w:fill="FFFFFF" w:val="clear"/>
                <w:em w:val="none"/>
              </w:rPr>
            </w:pPr>
            <w:r>
              <w:rPr>
                <w:rFonts w:ascii="CALIBRI LIGHT" w:hAnsi="CALIBRI LIGHT"/>
                <w:b w:val="false"/>
                <w:bCs w:val="false"/>
                <w:i w:val="false"/>
                <w:strike w:val="false"/>
                <w:dstrike w:val="false"/>
                <w:outline w:val="false"/>
                <w:shadow w:val="false"/>
                <w:sz w:val="20"/>
                <w:szCs w:val="20"/>
                <w:u w:val="none"/>
                <w:shd w:fill="FFFFFF" w:val="clear"/>
                <w:em w:val="none"/>
              </w:rPr>
              <w:t>04</w:t>
            </w:r>
          </w:p>
        </w:tc>
        <w:tc>
          <w:tcPr>
            <w:tcW w:w="1088"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413210</w:t>
            </w:r>
          </w:p>
        </w:tc>
        <w:tc>
          <w:tcPr>
            <w:tcW w:w="2662" w:type="dxa"/>
            <w:tcBorders>
              <w:left w:val="single" w:sz="8" w:space="0" w:color="000000"/>
              <w:bottom w:val="single" w:sz="8" w:space="0" w:color="000000"/>
            </w:tcBorders>
            <w:vAlign w:val="center"/>
          </w:tcPr>
          <w:p>
            <w:pPr>
              <w:pStyle w:val="Normal"/>
              <w:tabs>
                <w:tab w:val="clear" w:pos="708"/>
              </w:tabs>
              <w:jc w:val="both"/>
              <w:rPr>
                <w:rFonts w:ascii="Liberation Serif" w:hAnsi="Liberation Serif"/>
                <w:sz w:val="20"/>
                <w:szCs w:val="20"/>
              </w:rPr>
            </w:pPr>
            <w:r>
              <w:rPr>
                <w:rFonts w:ascii="Liberation Serif" w:hAnsi="Liberation Serif"/>
                <w:sz w:val="20"/>
                <w:szCs w:val="20"/>
              </w:rPr>
              <w:t>COMPRESSOR DE AR ODONTOLÓGICO\, CAPACIDADE RESERVATÓRIO:VOLUME INTERNO CERCA DE 20 L\, CARACTERÍSTICASADICIONAIS:ISENTO ÓLEO\, TANQUE PINTURA INTERNA ANTICORROSIVA\, VOLTAGEM:110/220 V\, COMPONENTE ADICIONAL:VÁLVULA DESEGURANÇA\, MANÔMETRO\, DRENO P/ ÁGUA\, COMPONENTES ADICIONAIS:CONEXÕES\, MANGUEIRA\, PESO:CERCA DE 20 KG, COMPRESSORDE AR ODONTOLÓGICO\, CAPACIDADE RESERVATÓRIO:VOLUME INTERNO ACIMA DE 120 L\, CARACTERÍSTICAS ADICIONAIS:ISENTO ÓLEO\,TANQUE PINTURA INTERNA ANTICORROSIVA\, VOLTAGEM:110/220 V\, COMPONENTE ADICIONAL:VÁLVULA DE SEGURANÇA\, MANÔMETRO\,DRENO P/ ÁGUA, COMPRESSOR DE AR ODONTOLÓGICO\, CAPACIDADE RESERVATÓRIO:VOLUME INTERNO ATÉ 40 L\, CARACTERÍSTICASADICIONAIS:ISENTO ÓLEO\, TANQUE PINTURA INTERNA ANTICORROSIVA\, VOLTAGEM:220 V\, COMPONENTE ADICIONAL:VÁLVULA DESEGURANÇA\, MANÔMETRO\, DRENO P/ ÁGU</w:t>
            </w:r>
          </w:p>
        </w:tc>
        <w:tc>
          <w:tcPr>
            <w:tcW w:w="1642"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UND</w:t>
            </w:r>
          </w:p>
        </w:tc>
        <w:tc>
          <w:tcPr>
            <w:tcW w:w="1133"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01</w:t>
            </w:r>
          </w:p>
        </w:tc>
        <w:tc>
          <w:tcPr>
            <w:tcW w:w="1369" w:type="dxa"/>
            <w:tcBorders>
              <w:left w:val="single" w:sz="8" w:space="0" w:color="000000"/>
              <w:bottom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2.170,00</w:t>
            </w:r>
          </w:p>
        </w:tc>
        <w:tc>
          <w:tcPr>
            <w:tcW w:w="1234" w:type="dxa"/>
            <w:tcBorders>
              <w:left w:val="single" w:sz="8" w:space="0" w:color="000000"/>
              <w:bottom w:val="single" w:sz="8" w:space="0" w:color="000000"/>
              <w:right w:val="single" w:sz="8" w:space="0" w:color="000000"/>
            </w:tcBorders>
            <w:vAlign w:val="center"/>
          </w:tcPr>
          <w:p>
            <w:pPr>
              <w:pStyle w:val="Normal"/>
              <w:tabs>
                <w:tab w:val="clear" w:pos="708"/>
              </w:tabs>
              <w:jc w:val="center"/>
              <w:rPr>
                <w:rFonts w:ascii="Liberation Serif" w:hAnsi="Liberation Serif"/>
                <w:sz w:val="20"/>
                <w:szCs w:val="20"/>
              </w:rPr>
            </w:pPr>
            <w:r>
              <w:rPr>
                <w:rFonts w:ascii="Liberation Serif" w:hAnsi="Liberation Serif"/>
                <w:sz w:val="20"/>
                <w:szCs w:val="20"/>
              </w:rPr>
              <w:t>2.170,00</w:t>
            </w:r>
          </w:p>
        </w:tc>
      </w:tr>
      <w:tr>
        <w:trPr>
          <w:trHeight w:val="342" w:hRule="atLeast"/>
        </w:trPr>
        <w:tc>
          <w:tcPr>
            <w:tcW w:w="8625" w:type="dxa"/>
            <w:gridSpan w:val="6"/>
            <w:tcBorders>
              <w:left w:val="single" w:sz="8" w:space="0" w:color="000000"/>
              <w:bottom w:val="single" w:sz="8" w:space="0" w:color="000000"/>
            </w:tcBorders>
            <w:vAlign w:val="center"/>
          </w:tcPr>
          <w:p>
            <w:pPr>
              <w:pStyle w:val="Normal"/>
              <w:tabs>
                <w:tab w:val="clear" w:pos="708"/>
              </w:tabs>
              <w:jc w:val="center"/>
              <w:rPr>
                <w:b/>
                <w:b/>
                <w:bCs/>
                <w:sz w:val="20"/>
                <w:szCs w:val="20"/>
                <w:shd w:fill="auto" w:val="clear"/>
              </w:rPr>
            </w:pPr>
            <w:r>
              <w:rPr>
                <w:b/>
                <w:bCs/>
                <w:sz w:val="20"/>
                <w:szCs w:val="20"/>
                <w:shd w:fill="auto" w:val="clear"/>
              </w:rPr>
              <w:t xml:space="preserve">TOTAL </w:t>
            </w:r>
            <w:r>
              <w:rPr>
                <w:b/>
                <w:bCs/>
                <w:sz w:val="20"/>
                <w:szCs w:val="20"/>
                <w:shd w:fill="auto" w:val="clear"/>
              </w:rPr>
              <w:t>GERAL</w:t>
            </w:r>
          </w:p>
        </w:tc>
        <w:tc>
          <w:tcPr>
            <w:tcW w:w="1234" w:type="dxa"/>
            <w:tcBorders>
              <w:left w:val="single" w:sz="8" w:space="0" w:color="000000"/>
              <w:bottom w:val="single" w:sz="8" w:space="0" w:color="000000"/>
              <w:right w:val="single" w:sz="8" w:space="0" w:color="000000"/>
            </w:tcBorders>
            <w:vAlign w:val="center"/>
          </w:tcPr>
          <w:p>
            <w:pPr>
              <w:pStyle w:val="Normal"/>
              <w:tabs>
                <w:tab w:val="clear" w:pos="708"/>
              </w:tabs>
              <w:jc w:val="center"/>
              <w:rPr>
                <w:b/>
                <w:b/>
                <w:bCs/>
                <w:sz w:val="20"/>
                <w:szCs w:val="20"/>
                <w:shd w:fill="auto" w:val="clear"/>
              </w:rPr>
            </w:pPr>
            <w:r>
              <w:rPr>
                <w:b/>
                <w:bCs/>
                <w:sz w:val="20"/>
                <w:szCs w:val="20"/>
                <w:shd w:fill="auto" w:val="clear"/>
              </w:rPr>
              <w:t xml:space="preserve">R$ </w:t>
            </w:r>
            <w:r>
              <w:rPr>
                <w:rFonts w:cs="Arial" w:ascii="CALIBRI LIGHT" w:hAnsi="CALIBRI LIGHT"/>
                <w:b/>
                <w:bCs/>
                <w:color w:val="000000"/>
                <w:sz w:val="20"/>
                <w:szCs w:val="20"/>
                <w:u w:val="none"/>
                <w:shd w:fill="auto" w:val="clear"/>
              </w:rPr>
              <w:t xml:space="preserve"> </w:t>
            </w:r>
            <w:r>
              <w:rPr>
                <w:rFonts w:cs="Arial" w:ascii="CALIBRI LIGHT" w:hAnsi="CALIBRI LIGHT"/>
                <w:b/>
                <w:bCs/>
                <w:color w:val="000000"/>
                <w:sz w:val="20"/>
                <w:szCs w:val="20"/>
                <w:u w:val="none"/>
                <w:shd w:fill="auto" w:val="clear"/>
              </w:rPr>
              <w:t>9.471,28</w:t>
            </w:r>
          </w:p>
        </w:tc>
      </w:tr>
    </w:tbl>
    <w:p>
      <w:pPr>
        <w:pStyle w:val="Normal"/>
        <w:numPr>
          <w:ilvl w:val="1"/>
          <w:numId w:val="139"/>
        </w:numPr>
        <w:ind w:left="0" w:hanging="0"/>
        <w:rPr/>
      </w:pPr>
      <w:r>
        <w:rPr/>
        <w:t>Os bens objeto desta contratação são caracterizados como comuns, conforme justificativa constante do Estudo Técnico Preliminar.</w:t>
      </w:r>
    </w:p>
    <w:p>
      <w:pPr>
        <w:pStyle w:val="Normal"/>
        <w:numPr>
          <w:ilvl w:val="1"/>
          <w:numId w:val="140"/>
        </w:numPr>
        <w:ind w:left="0" w:hanging="0"/>
        <w:rPr/>
      </w:pPr>
      <w:r>
        <w:rPr/>
        <w:t>O objeto desta contratação não se enquadra como sendo de bem de luxo, conforme Decreto nº 10.818, de 27 de setembro de 2021.</w:t>
      </w:r>
    </w:p>
    <w:p>
      <w:pPr>
        <w:pStyle w:val="Normal"/>
        <w:numPr>
          <w:ilvl w:val="1"/>
          <w:numId w:val="141"/>
        </w:numPr>
        <w:ind w:left="0" w:hanging="0"/>
        <w:rPr/>
      </w:pPr>
      <w:r>
        <w:rPr/>
        <w:t>O prazo de vigência da contratação é de 12 (doze) meses contados do(a) assinatura da Ata, na forma do artigo 105 da Lei n° 14.133, de 2021.</w:t>
      </w:r>
    </w:p>
    <w:p>
      <w:pPr>
        <w:pStyle w:val="Normal"/>
        <w:numPr>
          <w:ilvl w:val="1"/>
          <w:numId w:val="142"/>
        </w:numPr>
        <w:ind w:left="0" w:hanging="0"/>
        <w:rPr/>
      </w:pPr>
      <w:r>
        <w:rPr/>
        <w:t>O contrato oferece maior detalhamento das regras que serão aplicadas em relação à vigência da contratação.</w:t>
      </w:r>
    </w:p>
    <w:p>
      <w:pPr>
        <w:pStyle w:val="Normal"/>
        <w:numPr>
          <w:ilvl w:val="0"/>
          <w:numId w:val="2"/>
        </w:numPr>
        <w:ind w:left="0" w:hanging="0"/>
        <w:rPr/>
      </w:pPr>
      <w:r>
        <w:rPr/>
        <w:t>FUNDAMENTAÇÃO E DESCRIÇÃO DA NECESSIDADE DA CONTRATAÇÃO</w:t>
      </w:r>
    </w:p>
    <w:p>
      <w:pPr>
        <w:pStyle w:val="Normal"/>
        <w:numPr>
          <w:ilvl w:val="1"/>
          <w:numId w:val="143"/>
        </w:numPr>
        <w:ind w:left="0" w:hanging="0"/>
        <w:rPr/>
      </w:pPr>
      <w:r>
        <w:rPr/>
        <w:t>A Fundamentação da Contratação e de seus quantitativos encontra-se pormenorizada em Tópico específico dos Estudos Técnicos Preliminares, apêndice deste Termo de Referência.</w:t>
      </w:r>
    </w:p>
    <w:p>
      <w:pPr>
        <w:pStyle w:val="Normal"/>
        <w:rPr>
          <w:strike/>
        </w:rPr>
      </w:pPr>
      <w:r>
        <w:rPr>
          <w:strike/>
        </w:rPr>
      </w:r>
    </w:p>
    <w:p>
      <w:pPr>
        <w:pStyle w:val="Normal"/>
        <w:numPr>
          <w:ilvl w:val="1"/>
          <w:numId w:val="144"/>
        </w:numPr>
        <w:ind w:left="0" w:hanging="0"/>
        <w:rPr/>
      </w:pPr>
      <w:r>
        <w:rPr/>
        <w:t>O objeto da contratação está previsto no Plano de Contratações Anual 2023, conforme consta das informações básicas desse termo de referência.</w:t>
      </w:r>
    </w:p>
    <w:p>
      <w:pPr>
        <w:pStyle w:val="Normal"/>
        <w:numPr>
          <w:ilvl w:val="0"/>
          <w:numId w:val="2"/>
        </w:numPr>
        <w:ind w:left="0" w:hanging="0"/>
        <w:rPr/>
      </w:pPr>
      <w:r>
        <w:rPr/>
        <w:t>DESCRIÇÃO DA SOLUÇÃO COMO UM TODO CONSIDERADO O CICLO DE VIDA DO OBJETO E ESPECIFICAÇÃO DO PRODUTO</w:t>
      </w:r>
    </w:p>
    <w:p>
      <w:pPr>
        <w:pStyle w:val="Normal"/>
        <w:numPr>
          <w:ilvl w:val="1"/>
          <w:numId w:val="145"/>
        </w:numPr>
        <w:ind w:left="0" w:hanging="0"/>
        <w:rPr/>
      </w:pPr>
      <w:r>
        <w:rPr/>
        <w:t>A descrição da solução como um todo encontra-se pormenorizada em tópico específico dos Estudos Técnicos Preliminares, apêndice deste Termo de Referência.</w:t>
      </w:r>
    </w:p>
    <w:p>
      <w:pPr>
        <w:pStyle w:val="Normal"/>
        <w:numPr>
          <w:ilvl w:val="0"/>
          <w:numId w:val="2"/>
        </w:numPr>
        <w:ind w:left="0" w:hanging="0"/>
        <w:rPr/>
      </w:pPr>
      <w:r>
        <w:rPr/>
        <w:t>REQUISITOS DA CONTRATAÇÃO</w:t>
      </w:r>
    </w:p>
    <w:p>
      <w:pPr>
        <w:pStyle w:val="Normal"/>
        <w:ind w:left="0" w:hanging="0"/>
        <w:rPr/>
      </w:pPr>
      <w:r>
        <w:rPr/>
        <w:t>Sustentabilidade:</w:t>
      </w:r>
    </w:p>
    <w:p>
      <w:pPr>
        <w:pStyle w:val="Normal"/>
        <w:numPr>
          <w:ilvl w:val="1"/>
          <w:numId w:val="146"/>
        </w:numPr>
        <w:ind w:left="0" w:hanging="0"/>
        <w:rPr>
          <w:shd w:fill="FFFFFF" w:val="clear"/>
        </w:rPr>
      </w:pPr>
      <w:r>
        <w:rPr/>
        <w:t>Além dos critérios de sustentabilidade eventualmente inseridos na descrição do objeto, devem ser atendidos os seguintes requisitos, que se baseiam no Guia Nacional de Contratações Sustentáveis:</w:t>
      </w:r>
    </w:p>
    <w:p>
      <w:pPr>
        <w:pStyle w:val="Normal"/>
        <w:numPr>
          <w:ilvl w:val="1"/>
          <w:numId w:val="147"/>
        </w:numPr>
        <w:spacing w:lineRule="auto" w:line="240" w:before="57" w:after="57"/>
        <w:jc w:val="both"/>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highlight w:val="white"/>
          <w:lang w:val="pt-BR" w:eastAsia="en-US" w:bidi="ar-SA"/>
        </w:rPr>
        <w:t>Nos termos do Art. 4º, do Decreto nº 7.746, de 5 de junho de 2012, para os fins do disposto no art. 2º, do mesmo dispositivo, são considerados critérios e práticas sustentáveis, entre outras: (Redação dada pelo Decreto no 9.178, de 2017), devendo os Potenciais Licitantes durante a realização de observar o descrito abaixo:</w:t>
      </w:r>
    </w:p>
    <w:p>
      <w:pPr>
        <w:pStyle w:val="Normal"/>
        <w:numPr>
          <w:ilvl w:val="0"/>
          <w:numId w:val="0"/>
        </w:numPr>
        <w:spacing w:lineRule="auto" w:line="240" w:before="57" w:after="57"/>
        <w:ind w:left="360" w:hanging="0"/>
        <w:jc w:val="both"/>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I - baixo impacto sobre recursos naturais como flora, fauna, ar, solo e água;</w:t>
      </w:r>
    </w:p>
    <w:p>
      <w:pPr>
        <w:pStyle w:val="Normal"/>
        <w:numPr>
          <w:ilvl w:val="0"/>
          <w:numId w:val="0"/>
        </w:numPr>
        <w:spacing w:lineRule="auto" w:line="240" w:before="57" w:after="57"/>
        <w:ind w:left="360" w:hanging="0"/>
        <w:jc w:val="both"/>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II – preferência para materiais, tecnologias e matérias-primas de origem local;</w:t>
      </w:r>
    </w:p>
    <w:p>
      <w:pPr>
        <w:pStyle w:val="Normal"/>
        <w:numPr>
          <w:ilvl w:val="0"/>
          <w:numId w:val="0"/>
        </w:numPr>
        <w:spacing w:lineRule="auto" w:line="240" w:before="57" w:after="57"/>
        <w:ind w:left="360" w:hanging="0"/>
        <w:jc w:val="both"/>
        <w:rPr>
          <w:rFonts w:ascii="Calibri Light" w:hAnsi="Calibri Light"/>
          <w:sz w:val="24"/>
          <w:szCs w:val="24"/>
        </w:rPr>
      </w:pPr>
      <w:r>
        <w:rPr>
          <w:rFonts w:ascii="Calibri Light" w:hAnsi="Calibri Light"/>
          <w:b w:val="false"/>
          <w:bCs w:val="false"/>
          <w:i w:val="false"/>
          <w:iCs w:val="false"/>
          <w:color w:val="000000"/>
          <w:sz w:val="24"/>
          <w:szCs w:val="24"/>
        </w:rPr>
        <w:t xml:space="preserve">III – </w:t>
      </w:r>
      <w:r>
        <w:rPr>
          <w:rFonts w:eastAsia="ＭＳ 明朝" w:cs="Times New Roman" w:eastAsiaTheme="minorEastAsia"/>
          <w:b w:val="false"/>
          <w:bCs w:val="false"/>
          <w:i w:val="false"/>
          <w:iCs w:val="false"/>
          <w:color w:val="auto"/>
          <w:kern w:val="0"/>
          <w:sz w:val="20"/>
          <w:szCs w:val="20"/>
          <w:lang w:val="pt-BR" w:eastAsia="en-US" w:bidi="ar-SA"/>
        </w:rPr>
        <w:t>maior eficiência na utilização de recursos naturais como água e energia;</w:t>
      </w:r>
    </w:p>
    <w:p>
      <w:pPr>
        <w:pStyle w:val="Normal"/>
        <w:numPr>
          <w:ilvl w:val="0"/>
          <w:numId w:val="0"/>
        </w:numPr>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IV – maior geração de empregos, preferencialmente com mão de obra local;</w:t>
      </w:r>
    </w:p>
    <w:p>
      <w:pPr>
        <w:pStyle w:val="Normal"/>
        <w:numPr>
          <w:ilvl w:val="0"/>
          <w:numId w:val="0"/>
        </w:numPr>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V – maior vida útil e menor custo de manutenção do bem e da obra;</w:t>
      </w:r>
    </w:p>
    <w:p>
      <w:pPr>
        <w:pStyle w:val="Normal"/>
        <w:numPr>
          <w:ilvl w:val="0"/>
          <w:numId w:val="0"/>
        </w:numPr>
        <w:spacing w:lineRule="auto" w:line="240" w:before="57" w:after="57"/>
        <w:ind w:left="360" w:hanging="0"/>
        <w:jc w:val="both"/>
        <w:rPr>
          <w:rFonts w:ascii="Calibri Light" w:hAnsi="Calibri Light"/>
          <w:sz w:val="24"/>
          <w:szCs w:val="24"/>
        </w:rPr>
      </w:pPr>
      <w:r>
        <w:rPr>
          <w:rFonts w:ascii="Calibri Light" w:hAnsi="Calibri Light"/>
          <w:b w:val="false"/>
          <w:bCs w:val="false"/>
          <w:i w:val="false"/>
          <w:iCs w:val="false"/>
          <w:color w:val="000000"/>
          <w:sz w:val="24"/>
          <w:szCs w:val="24"/>
        </w:rPr>
        <w:t xml:space="preserve">VI - </w:t>
      </w:r>
      <w:r>
        <w:rPr>
          <w:rFonts w:eastAsia="ＭＳ 明朝" w:cs="Times New Roman" w:eastAsiaTheme="minorEastAsia"/>
          <w:b w:val="false"/>
          <w:bCs w:val="false"/>
          <w:i w:val="false"/>
          <w:iCs w:val="false"/>
          <w:color w:val="auto"/>
          <w:kern w:val="0"/>
          <w:sz w:val="20"/>
          <w:szCs w:val="20"/>
          <w:lang w:val="pt-BR" w:eastAsia="en-US" w:bidi="ar-SA"/>
        </w:rPr>
        <w:t>uso de inovações que reduzam a pressão sobre recursos naturais;(Redação dada pelo Decreto no 9.178, de 2017);</w:t>
      </w:r>
    </w:p>
    <w:p>
      <w:pPr>
        <w:pStyle w:val="Normal"/>
        <w:numPr>
          <w:ilvl w:val="0"/>
          <w:numId w:val="0"/>
        </w:numPr>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VII - origem sustentável dos recursos naturais utilizados nos bens, nos serviços e nas obras; e (Redação dada pelo Decreto no 9.178, de 2017);</w:t>
      </w:r>
    </w:p>
    <w:p>
      <w:pPr>
        <w:pStyle w:val="Normal"/>
        <w:numPr>
          <w:ilvl w:val="0"/>
          <w:numId w:val="0"/>
        </w:numPr>
        <w:suppressAutoHyphens w:val="true"/>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strike w:val="false"/>
          <w:dstrike w:val="false"/>
          <w:color w:val="auto"/>
          <w:kern w:val="0"/>
          <w:sz w:val="20"/>
          <w:szCs w:val="20"/>
          <w:u w:val="none"/>
          <w:lang w:val="pt-BR" w:eastAsia="en-US" w:bidi="ar-SA"/>
        </w:rPr>
        <w:t>VIII - utilização de produtos florestais madeireiros e não madeireiros originários de manejo florestal sustentável ou de reflorestamento.</w:t>
      </w:r>
    </w:p>
    <w:p>
      <w:pPr>
        <w:pStyle w:val="Normal"/>
        <w:numPr>
          <w:ilvl w:val="1"/>
          <w:numId w:val="148"/>
        </w:numPr>
        <w:spacing w:lineRule="auto" w:line="240" w:before="57" w:after="57"/>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strike w:val="false"/>
          <w:dstrike w:val="false"/>
          <w:color w:val="000000"/>
          <w:kern w:val="0"/>
          <w:sz w:val="20"/>
          <w:szCs w:val="20"/>
          <w:u w:val="none"/>
          <w:shd w:fill="FFFFFF" w:val="clear"/>
          <w:lang w:val="pt-BR" w:eastAsia="en-US" w:bidi="ar-SA"/>
        </w:rPr>
        <w:t>Caberá ao Fiscal de Contrato observar o cumprimento dois itens acima, no momento do recebimento efetivo do objeto contratado.</w:t>
      </w:r>
    </w:p>
    <w:p>
      <w:pPr>
        <w:pStyle w:val="Normal"/>
        <w:numPr>
          <w:ilvl w:val="0"/>
          <w:numId w:val="0"/>
        </w:numPr>
        <w:ind w:left="284" w:hanging="0"/>
        <w:rPr>
          <w:shd w:fill="FFFFFF" w:val="clear"/>
        </w:rPr>
      </w:pPr>
      <w:r>
        <w:rPr>
          <w:shd w:fill="FFFFFF" w:val="clear"/>
        </w:rPr>
      </w:r>
    </w:p>
    <w:p>
      <w:pPr>
        <w:pStyle w:val="Normal"/>
        <w:ind w:left="0" w:hanging="0"/>
        <w:rPr/>
      </w:pPr>
      <w:r>
        <w:rPr/>
        <w:t>Indicação de marcas ou modelos (</w:t>
      </w:r>
      <w:r>
        <w:fldChar w:fldCharType="begin"/>
      </w:r>
      <w:r>
        <w:rPr>
          <w:rStyle w:val="LinkdaInternet"/>
        </w:rPr>
        <w:instrText xml:space="preserve"> HYPERLINK "http://www.planalto.gov.br/ccivil_03/_ato2019-2022/2021/lei/L14133.htm" \l "art41"</w:instrText>
      </w:r>
      <w:r>
        <w:rPr>
          <w:rStyle w:val="LinkdaInternet"/>
        </w:rPr>
        <w:fldChar w:fldCharType="separate"/>
      </w:r>
      <w:r>
        <w:rPr>
          <w:rStyle w:val="LinkdaInternet"/>
        </w:rPr>
        <w:t>Art. 41, inciso I, da Lei nº 14.133, de 2021</w:t>
      </w:r>
      <w:r>
        <w:rPr>
          <w:rStyle w:val="LinkdaInternet"/>
        </w:rPr>
        <w:fldChar w:fldCharType="end"/>
      </w:r>
      <w:r>
        <w:rPr/>
        <w:t>):</w:t>
      </w:r>
    </w:p>
    <w:p>
      <w:pPr>
        <w:pStyle w:val="Normal"/>
        <w:numPr>
          <w:ilvl w:val="1"/>
          <w:numId w:val="149"/>
        </w:numPr>
        <w:ind w:left="0" w:hanging="0"/>
        <w:rPr/>
      </w:pPr>
      <w:r>
        <w:rPr/>
        <w:t>Na presente contratação n</w:t>
      </w:r>
      <w:r>
        <w:rPr>
          <w:rFonts w:eastAsia="ＭＳ 明朝" w:cs="Times New Roman" w:eastAsiaTheme="minorEastAsia"/>
          <w:color w:val="auto"/>
          <w:kern w:val="0"/>
          <w:sz w:val="20"/>
          <w:szCs w:val="20"/>
          <w:lang w:val="pt-BR" w:eastAsia="en-US" w:bidi="ar-SA"/>
        </w:rPr>
        <w:t xml:space="preserve">ão </w:t>
      </w:r>
      <w:r>
        <w:rPr/>
        <w:t>será  indicada.</w:t>
      </w:r>
    </w:p>
    <w:p>
      <w:pPr>
        <w:pStyle w:val="Normal"/>
        <w:numPr>
          <w:ilvl w:val="1"/>
          <w:numId w:val="150"/>
        </w:numPr>
        <w:ind w:left="0" w:hanging="0"/>
        <w:rPr/>
      </w:pPr>
      <w:r>
        <w:rPr/>
        <w:t>Não é admitida a subcontratação do objeto contratual.</w:t>
      </w:r>
    </w:p>
    <w:p>
      <w:pPr>
        <w:pStyle w:val="Normal"/>
        <w:numPr>
          <w:ilvl w:val="0"/>
          <w:numId w:val="0"/>
        </w:numPr>
        <w:ind w:left="0" w:hanging="0"/>
        <w:rPr>
          <w:strike/>
        </w:rPr>
      </w:pPr>
      <w:r>
        <w:rPr>
          <w:strike/>
        </w:rPr>
      </w:r>
    </w:p>
    <w:p>
      <w:pPr>
        <w:pStyle w:val="Normal"/>
        <w:ind w:left="0" w:hanging="0"/>
        <w:rPr/>
      </w:pPr>
      <w:r>
        <w:rPr/>
        <w:t>Garantia da contratação</w:t>
      </w:r>
    </w:p>
    <w:p>
      <w:pPr>
        <w:pStyle w:val="Normal"/>
        <w:numPr>
          <w:ilvl w:val="1"/>
          <w:numId w:val="151"/>
        </w:numPr>
        <w:ind w:left="0" w:hanging="0"/>
        <w:rPr/>
      </w:pPr>
      <w:r>
        <w:rPr/>
        <w:t xml:space="preserve">Não haverá exigência da garantia da contratação dos </w:t>
      </w:r>
      <w:r>
        <w:fldChar w:fldCharType="begin"/>
      </w:r>
      <w:r>
        <w:rPr>
          <w:rStyle w:val="LinkdaInternet"/>
        </w:rPr>
        <w:instrText xml:space="preserve"> HYPERLINK "http://www.planalto.gov.br/ccivil_03/_ato2019-2022/2021/lei/L14133.htm" \l "art96"</w:instrText>
      </w:r>
      <w:r>
        <w:rPr>
          <w:rStyle w:val="LinkdaInternet"/>
        </w:rPr>
        <w:fldChar w:fldCharType="separate"/>
      </w:r>
      <w:r>
        <w:rPr>
          <w:rStyle w:val="LinkdaInternet"/>
        </w:rPr>
        <w:t>artigos 96 e seguintes da Lei nº 14.133, de 2021</w:t>
      </w:r>
      <w:r>
        <w:rPr>
          <w:rStyle w:val="LinkdaInternet"/>
        </w:rPr>
        <w:fldChar w:fldCharType="end"/>
      </w:r>
      <w:r>
        <w:rPr/>
        <w:t>, pelas razões constantes do Estudo Técnico Preliminar.</w:t>
      </w:r>
    </w:p>
    <w:p>
      <w:pPr>
        <w:pStyle w:val="Normal"/>
        <w:numPr>
          <w:ilvl w:val="0"/>
          <w:numId w:val="2"/>
        </w:numPr>
        <w:ind w:left="0" w:hanging="0"/>
        <w:rPr/>
      </w:pPr>
      <w:r>
        <w:rPr/>
        <w:t>MODELO DE EXECUÇÃO DO OBJETO</w:t>
      </w:r>
    </w:p>
    <w:p>
      <w:pPr>
        <w:pStyle w:val="Normal"/>
        <w:ind w:left="0" w:hanging="0"/>
        <w:rPr/>
      </w:pPr>
      <w:r>
        <w:rPr/>
        <w:t>Condições de Entrega</w:t>
      </w:r>
    </w:p>
    <w:p>
      <w:pPr>
        <w:pStyle w:val="Normal"/>
        <w:numPr>
          <w:ilvl w:val="1"/>
          <w:numId w:val="152"/>
        </w:numPr>
        <w:ind w:left="0" w:hanging="0"/>
        <w:rPr/>
      </w:pPr>
      <w:r>
        <w:rPr/>
        <w:t xml:space="preserve">O prazo de entrega dos bens é de 30 (trinta) dias, contados do(a) recebimento da nota de empenho, em remessa única. </w:t>
      </w:r>
    </w:p>
    <w:p>
      <w:pPr>
        <w:pStyle w:val="Normal"/>
        <w:numPr>
          <w:ilvl w:val="1"/>
          <w:numId w:val="153"/>
        </w:numPr>
        <w:ind w:left="0" w:hanging="0"/>
        <w:rPr/>
      </w:pPr>
      <w:r>
        <w:rPr/>
        <w:t>Os bens deverão ser entregues nos seguintes endereços:</w:t>
      </w:r>
    </w:p>
    <w:p>
      <w:pPr>
        <w:pStyle w:val="Normal"/>
        <w:widowControl/>
        <w:numPr>
          <w:ilvl w:val="2"/>
          <w:numId w:val="154"/>
        </w:numPr>
        <w:tabs>
          <w:tab w:val="clear" w:pos="708"/>
          <w:tab w:val="left" w:pos="844" w:leader="none"/>
          <w:tab w:val="left" w:pos="979" w:leader="none"/>
          <w:tab w:val="left" w:pos="1195" w:leader="none"/>
        </w:tabs>
        <w:bidi w:val="0"/>
        <w:spacing w:lineRule="auto" w:line="240" w:before="57" w:after="57"/>
        <w:jc w:val="both"/>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bCs/>
          <w:i w:val="false"/>
          <w:iCs w:val="false"/>
          <w:color w:val="000000"/>
          <w:kern w:val="0"/>
          <w:sz w:val="20"/>
          <w:szCs w:val="20"/>
          <w:u w:val="none"/>
          <w:shd w:fill="FFFFFF" w:val="clear"/>
          <w:lang w:val="pt-BR" w:eastAsia="en-US" w:bidi="ar-SA"/>
        </w:rPr>
        <w:t xml:space="preserve">Pq R Mnt/6 : Parque Regional De Manutenção/6 </w:t>
      </w:r>
      <w:r>
        <w:rPr>
          <w:rFonts w:eastAsia="ＭＳ 明朝" w:cs="Times New Roman" w:eastAsiaTheme="minorEastAsia"/>
          <w:b w:val="false"/>
          <w:bCs w:val="false"/>
          <w:i w:val="false"/>
          <w:iCs w:val="false"/>
          <w:color w:val="000000"/>
          <w:kern w:val="0"/>
          <w:sz w:val="20"/>
          <w:szCs w:val="20"/>
          <w:u w:val="none"/>
          <w:shd w:fill="FFFFFF" w:val="clear"/>
          <w:lang w:val="pt-BR" w:eastAsia="en-US" w:bidi="ar-SA"/>
        </w:rPr>
        <w:t>– Rua Da Boa Viagem, 1947, Bairro Boa Viagem, Salvador – Ba, Cep: 40.414-610;</w:t>
      </w:r>
    </w:p>
    <w:p>
      <w:pPr>
        <w:pStyle w:val="Normal"/>
        <w:widowControl/>
        <w:numPr>
          <w:ilvl w:val="0"/>
          <w:numId w:val="0"/>
        </w:numPr>
        <w:tabs>
          <w:tab w:val="clear" w:pos="708"/>
          <w:tab w:val="left" w:pos="1069" w:leader="none"/>
        </w:tabs>
        <w:bidi w:val="0"/>
        <w:spacing w:lineRule="auto" w:line="240" w:before="57" w:after="57"/>
        <w:ind w:left="1781" w:hanging="0"/>
        <w:jc w:val="both"/>
        <w:rPr>
          <w:rFonts w:ascii="Calibri Light" w:hAnsi="Calibri Light"/>
          <w:sz w:val="24"/>
          <w:szCs w:val="24"/>
          <w:highlight w:val="white"/>
        </w:rPr>
      </w:pPr>
      <w:r>
        <w:rPr>
          <w:rFonts w:ascii="Calibri Light" w:hAnsi="Calibri Light"/>
          <w:sz w:val="24"/>
          <w:szCs w:val="24"/>
          <w:highlight w:val="white"/>
        </w:rPr>
      </w:r>
    </w:p>
    <w:p>
      <w:pPr>
        <w:pStyle w:val="Normal"/>
        <w:numPr>
          <w:ilvl w:val="0"/>
          <w:numId w:val="2"/>
        </w:numPr>
        <w:ind w:left="0" w:hanging="0"/>
        <w:rPr/>
      </w:pPr>
      <w:r>
        <w:rPr/>
        <w:t>MODELO DE GESTÃO DO CONTRATO</w:t>
      </w:r>
    </w:p>
    <w:p>
      <w:pPr>
        <w:pStyle w:val="Normal"/>
        <w:numPr>
          <w:ilvl w:val="1"/>
          <w:numId w:val="155"/>
        </w:numPr>
        <w:ind w:left="0" w:hanging="0"/>
        <w:rPr/>
      </w:pPr>
      <w:r>
        <w:rPr/>
        <w:t>O contrato deverá ser executado fielmente pelas partes, de acordo com as cláusulas avençadas e as normas da Lei nº 14.133, de 2021, e cada parte responderá pelas consequências de sua inexecução total ou parcial.</w:t>
      </w:r>
    </w:p>
    <w:p>
      <w:pPr>
        <w:pStyle w:val="Normal"/>
        <w:numPr>
          <w:ilvl w:val="1"/>
          <w:numId w:val="156"/>
        </w:numPr>
        <w:ind w:left="0" w:hanging="0"/>
        <w:rPr/>
      </w:pPr>
      <w:r>
        <w:rPr/>
        <w:t>Em caso de impedimento, ordem de paralisação ou suspensão do contrato, o cronograma de execução será prorrogado automaticamente pelo tempo correspondente, anotadas tais circunstâncias mediante simples apostila.</w:t>
      </w:r>
    </w:p>
    <w:p>
      <w:pPr>
        <w:pStyle w:val="Normal"/>
        <w:numPr>
          <w:ilvl w:val="1"/>
          <w:numId w:val="157"/>
        </w:numPr>
        <w:ind w:left="0" w:hanging="0"/>
        <w:rPr/>
      </w:pPr>
      <w:r>
        <w:rPr/>
        <w:t>As comunicações entre o órgão ou entidade e a contratada devem ser realizadas por escrito sempre que o ato exigir tal formalidade, admitindo-se o uso de mensagem eletrônica para esse fim.</w:t>
      </w:r>
    </w:p>
    <w:p>
      <w:pPr>
        <w:pStyle w:val="Normal"/>
        <w:numPr>
          <w:ilvl w:val="1"/>
          <w:numId w:val="158"/>
        </w:numPr>
        <w:ind w:left="0" w:hanging="0"/>
        <w:rPr/>
      </w:pPr>
      <w:r>
        <w:rPr/>
        <w:t>O órgão ou entidade poderá convocar representante da empresa para adoção de providências que devam ser cumpridas de imediato.</w:t>
      </w:r>
    </w:p>
    <w:p>
      <w:pPr>
        <w:pStyle w:val="Normal"/>
        <w:numPr>
          <w:ilvl w:val="1"/>
          <w:numId w:val="159"/>
        </w:numPr>
        <w:ind w:left="0" w:hanging="0"/>
        <w:rPr/>
      </w:pPr>
      <w:r>
        <w:rPr/>
        <w:t xml:space="preserve"> </w:t>
      </w:r>
      <w:r>
        <w:rPr/>
        <w:t>Após a assinatura do contrato ou instrumento equivalente</w:t>
      </w:r>
      <w:r>
        <w:rPr>
          <w:strike/>
        </w:rPr>
        <w:t>,</w:t>
      </w:r>
      <w:r>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pPr>
        <w:pStyle w:val="Normal"/>
        <w:numPr>
          <w:ilvl w:val="0"/>
          <w:numId w:val="0"/>
        </w:numPr>
        <w:ind w:left="0" w:hanging="0"/>
        <w:rPr/>
      </w:pPr>
      <w:r>
        <w:rPr/>
        <w:t>Fiscalização</w:t>
      </w:r>
    </w:p>
    <w:p>
      <w:pPr>
        <w:pStyle w:val="Normal"/>
        <w:numPr>
          <w:ilvl w:val="1"/>
          <w:numId w:val="160"/>
        </w:numPr>
        <w:ind w:left="0" w:hanging="0"/>
        <w:rPr/>
      </w:pPr>
      <w:r>
        <w:rPr/>
        <w:t>A execução do contrato deverá ser acompanhada e fiscalizada pelo(s) fiscal(is) do contrato, ou pelos respectivos substitutos (</w:t>
      </w:r>
      <w:r>
        <w:fldChar w:fldCharType="begin"/>
      </w:r>
      <w:r>
        <w:rPr>
          <w:rStyle w:val="LinkdaInternet"/>
        </w:rPr>
        <w:instrText xml:space="preserve"> HYPERLINK "http://www.planalto.gov.br/ccivil_03/_ato2019-2022/2021/lei/L14133.htm" \l "art117"</w:instrText>
      </w:r>
      <w:r>
        <w:rPr>
          <w:rStyle w:val="LinkdaInternet"/>
        </w:rPr>
        <w:fldChar w:fldCharType="separate"/>
      </w:r>
      <w:r>
        <w:rPr>
          <w:rStyle w:val="LinkdaInternet"/>
        </w:rPr>
        <w:t>Lei nº 14.133, de 2021, art. 117, caput</w:t>
      </w:r>
      <w:r>
        <w:rPr>
          <w:rStyle w:val="LinkdaInternet"/>
        </w:rPr>
        <w:fldChar w:fldCharType="end"/>
      </w:r>
      <w:r>
        <w:rPr/>
        <w:t>).</w:t>
      </w:r>
    </w:p>
    <w:p>
      <w:pPr>
        <w:pStyle w:val="Normal"/>
        <w:ind w:left="0" w:hanging="0"/>
        <w:rPr/>
      </w:pPr>
      <w:r>
        <w:rPr/>
        <w:t>Fiscalização Técnica</w:t>
      </w:r>
    </w:p>
    <w:p>
      <w:pPr>
        <w:pStyle w:val="Normal"/>
        <w:numPr>
          <w:ilvl w:val="1"/>
          <w:numId w:val="161"/>
        </w:numPr>
        <w:ind w:left="0" w:hanging="0"/>
        <w:rPr/>
      </w:pPr>
      <w:r>
        <w:rPr/>
        <w:t>O fiscal técnico do contrato acompanhará a execução do contrato, para que sejam cumpridas todas as condições estabelecidas no contrato, de modo a assegurar os melhores resultados para a Administração. (Decreto nº 11.246, de 2022, art. 22, VI);</w:t>
      </w:r>
    </w:p>
    <w:p>
      <w:pPr>
        <w:pStyle w:val="Normal"/>
        <w:numPr>
          <w:ilvl w:val="2"/>
          <w:numId w:val="162"/>
        </w:numPr>
        <w:ind w:left="284" w:hanging="0"/>
        <w:rPr/>
      </w:pPr>
      <w:r>
        <w:rPr/>
        <w:t>O fiscal técnico do contrato anotará no histórico de gerenciamento do contrato todas as ocorrências relacionadas à execução do contrato, com a descrição do que for necessário para a regularização das faltas ou dos defeitos observados. (</w:t>
      </w:r>
      <w:r>
        <w:fldChar w:fldCharType="begin"/>
      </w:r>
      <w:r>
        <w:rPr>
          <w:rStyle w:val="LinkdaInternet"/>
        </w:rPr>
        <w:instrText xml:space="preserve"> HYPERLINK "http://www.planalto.gov.br/ccivil_03/_ato2019-2022/2021/lei/L14133.htm" \l "art117§1"</w:instrText>
      </w:r>
      <w:r>
        <w:rPr>
          <w:rStyle w:val="LinkdaInternet"/>
        </w:rPr>
        <w:fldChar w:fldCharType="separate"/>
      </w:r>
      <w:r>
        <w:rPr>
          <w:rStyle w:val="LinkdaInternet"/>
        </w:rPr>
        <w:t>Lei nº 14.133, de 2021, art. 117, §1º</w:t>
      </w:r>
      <w:r>
        <w:rPr>
          <w:rStyle w:val="LinkdaInternet"/>
        </w:rPr>
        <w:fldChar w:fldCharType="end"/>
      </w:r>
      <w:r>
        <w:rPr/>
        <w:t xml:space="preserve">, e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II);</w:t>
      </w:r>
      <w:r>
        <w:rPr>
          <w:rStyle w:val="LinkdaInternet"/>
        </w:rPr>
        <w:fldChar w:fldCharType="end"/>
      </w:r>
    </w:p>
    <w:p>
      <w:pPr>
        <w:pStyle w:val="Normal"/>
        <w:numPr>
          <w:ilvl w:val="2"/>
          <w:numId w:val="163"/>
        </w:numPr>
        <w:ind w:left="284" w:hanging="0"/>
        <w:rPr/>
      </w:pPr>
      <w:r>
        <w:rPr/>
        <w:t>Identificada qualquer inexatidão ou irregularidade, o fiscal técnico do contrato emitirá notificações para a correção da execução do contrato, determinando prazo para a correção.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III</w:t>
      </w:r>
      <w:r>
        <w:rPr>
          <w:rStyle w:val="LinkdaInternet"/>
        </w:rPr>
        <w:fldChar w:fldCharType="end"/>
      </w:r>
      <w:r>
        <w:rPr/>
        <w:t xml:space="preserve">); </w:t>
      </w:r>
    </w:p>
    <w:p>
      <w:pPr>
        <w:pStyle w:val="Normal"/>
        <w:numPr>
          <w:ilvl w:val="2"/>
          <w:numId w:val="164"/>
        </w:numPr>
        <w:ind w:left="284" w:hanging="0"/>
        <w:rPr/>
      </w:pPr>
      <w:r>
        <w:rPr/>
        <w:t>O fiscal técnico do contrato informará ao gestor do contato, em tempo hábil, a situação que demandar decisão ou adoção de medidas que ultrapassem sua competência, para que adote as medidas necessárias e saneadoras, se for o caso.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IV</w:t>
      </w:r>
      <w:r>
        <w:rPr>
          <w:rStyle w:val="LinkdaInternet"/>
        </w:rPr>
        <w:fldChar w:fldCharType="end"/>
      </w:r>
      <w:r>
        <w:rPr/>
        <w:t>).</w:t>
      </w:r>
    </w:p>
    <w:p>
      <w:pPr>
        <w:pStyle w:val="Normal"/>
        <w:numPr>
          <w:ilvl w:val="2"/>
          <w:numId w:val="165"/>
        </w:numPr>
        <w:ind w:left="284" w:hanging="0"/>
        <w:rPr/>
      </w:pPr>
      <w:r>
        <w:rPr/>
        <w:t>No caso de ocorrências que possam inviabilizar a execução do contrato nas datas aprazadas, o fiscal técnico do contrato comunicará o fato imediatamente ao gestor do contrato.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V</w:t>
      </w:r>
      <w:r>
        <w:rPr>
          <w:rStyle w:val="LinkdaInternet"/>
        </w:rPr>
        <w:fldChar w:fldCharType="end"/>
      </w:r>
      <w:r>
        <w:rPr/>
        <w:t>).</w:t>
      </w:r>
    </w:p>
    <w:p>
      <w:pPr>
        <w:pStyle w:val="Normal"/>
        <w:numPr>
          <w:ilvl w:val="2"/>
          <w:numId w:val="166"/>
        </w:numPr>
        <w:ind w:left="284" w:hanging="0"/>
        <w:rPr/>
      </w:pPr>
      <w:r>
        <w:rPr/>
        <w:t xml:space="preserve">O fiscal técnico do contrato comunicará ao gestor do contrato, em tempo hábil, o término do contrato sob sua responsabilidade, com vistas à renovação tempestiva ou à prorrogação contratual </w:t>
      </w:r>
      <w:r>
        <w:fldChar w:fldCharType="begin"/>
      </w:r>
      <w:r>
        <w:rPr>
          <w:rStyle w:val="LinkdaInternet"/>
        </w:rPr>
        <w:instrText xml:space="preserve"> HYPERLINK "https://www.planalto.gov.br/ccivil_03/_ato2019-2022/2022/Decreto/D11246.htm" \l "art22"</w:instrText>
      </w:r>
      <w:r>
        <w:rPr>
          <w:rStyle w:val="LinkdaInternet"/>
        </w:rPr>
        <w:fldChar w:fldCharType="separate"/>
      </w:r>
      <w:r>
        <w:rPr>
          <w:rStyle w:val="LinkdaInternet"/>
        </w:rPr>
        <w:t>(Decreto nº 11.246, de 2022, art. 22, VII</w:t>
      </w:r>
      <w:r>
        <w:rPr>
          <w:rStyle w:val="LinkdaInternet"/>
        </w:rPr>
        <w:fldChar w:fldCharType="end"/>
      </w:r>
      <w:r>
        <w:rPr/>
        <w:t>).</w:t>
      </w:r>
    </w:p>
    <w:p>
      <w:pPr>
        <w:pStyle w:val="Normal"/>
        <w:numPr>
          <w:ilvl w:val="0"/>
          <w:numId w:val="0"/>
        </w:numPr>
        <w:ind w:left="0" w:hanging="0"/>
        <w:rPr/>
      </w:pPr>
      <w:r>
        <w:rPr/>
        <w:t>Fiscalização Administrativa</w:t>
      </w:r>
    </w:p>
    <w:p>
      <w:pPr>
        <w:pStyle w:val="Normal"/>
        <w:numPr>
          <w:ilvl w:val="1"/>
          <w:numId w:val="167"/>
        </w:numPr>
        <w:ind w:left="0" w:hanging="0"/>
        <w:rPr/>
      </w:pPr>
      <w:r>
        <w:rPr/>
        <w:t>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w:t>
      </w:r>
      <w:r>
        <w:fldChar w:fldCharType="begin"/>
      </w:r>
      <w:r>
        <w:rPr>
          <w:rStyle w:val="LinkdaInternet"/>
        </w:rPr>
        <w:instrText xml:space="preserve"> HYPERLINK "https://www.planalto.gov.br/ccivil_03/_ato2019-2022/2022/Decreto/D11246.htm" \l "art23"</w:instrText>
      </w:r>
      <w:r>
        <w:rPr>
          <w:rStyle w:val="LinkdaInternet"/>
        </w:rPr>
        <w:fldChar w:fldCharType="separate"/>
      </w:r>
      <w:r>
        <w:rPr>
          <w:rStyle w:val="LinkdaInternet"/>
        </w:rPr>
        <w:t>Art. 23, I e II, do Decreto nº 11.246, de 2022</w:t>
      </w:r>
      <w:r>
        <w:rPr>
          <w:rStyle w:val="LinkdaInternet"/>
        </w:rPr>
        <w:fldChar w:fldCharType="end"/>
      </w:r>
      <w:r>
        <w:rPr/>
        <w:t>).</w:t>
      </w:r>
    </w:p>
    <w:p>
      <w:pPr>
        <w:pStyle w:val="Normal"/>
        <w:numPr>
          <w:ilvl w:val="2"/>
          <w:numId w:val="168"/>
        </w:numPr>
        <w:ind w:left="284" w:hanging="0"/>
        <w:rPr/>
      </w:pPr>
      <w:r>
        <w:rPr/>
        <w:t>Caso ocorra descumprimento das obrigações contratuais, o fiscal administrativo do contrato atuará tempestivamente na solução do problema, reportando ao gestor do contrato para que tome as providências cabíveis, quando ultrapassar a sua competência; (</w:t>
      </w:r>
      <w:r>
        <w:fldChar w:fldCharType="begin"/>
      </w:r>
      <w:r>
        <w:rPr>
          <w:rStyle w:val="LinkdaInternet"/>
        </w:rPr>
        <w:instrText xml:space="preserve"> HYPERLINK "https://www.planalto.gov.br/ccivil_03/_ato2019-2022/2022/Decreto/D11246.htm" \l "art23"</w:instrText>
      </w:r>
      <w:r>
        <w:rPr>
          <w:rStyle w:val="LinkdaInternet"/>
        </w:rPr>
        <w:fldChar w:fldCharType="separate"/>
      </w:r>
      <w:r>
        <w:rPr>
          <w:rStyle w:val="LinkdaInternet"/>
        </w:rPr>
        <w:t>Decreto nº 11.246, de 2022, art. 23, IV</w:t>
      </w:r>
      <w:r>
        <w:rPr>
          <w:rStyle w:val="LinkdaInternet"/>
        </w:rPr>
        <w:fldChar w:fldCharType="end"/>
      </w:r>
      <w:r>
        <w:rPr/>
        <w:t>).</w:t>
      </w:r>
    </w:p>
    <w:p>
      <w:pPr>
        <w:pStyle w:val="Normal"/>
        <w:numPr>
          <w:ilvl w:val="1"/>
          <w:numId w:val="169"/>
        </w:numPr>
        <w:ind w:left="0" w:hanging="0"/>
        <w:rPr/>
      </w:pPr>
      <w:r>
        <w:rPr/>
        <w:t>Além do disposto acima, a fiscalização contratual obedecerá às seguintes rotinas:</w:t>
      </w:r>
    </w:p>
    <w:p>
      <w:pPr>
        <w:pStyle w:val="Normal"/>
        <w:widowControl/>
        <w:numPr>
          <w:ilvl w:val="2"/>
          <w:numId w:val="170"/>
        </w:numPr>
        <w:suppressAutoHyphens w:val="true"/>
        <w:bidi w:val="0"/>
        <w:spacing w:lineRule="auto" w:line="276" w:before="120" w:after="120"/>
        <w:ind w:left="284" w:hanging="0"/>
        <w:jc w:val="both"/>
        <w:rPr>
          <w:rFonts w:ascii="Arial" w:hAnsi="Arial" w:eastAsia="ＭＳ 明朝" w:cs="Arial"/>
          <w:b/>
          <w:b/>
          <w:bCs/>
          <w:kern w:val="0"/>
          <w:sz w:val="20"/>
          <w:lang w:val="pt-BR" w:eastAsia="pt-BR" w:bidi="ar-SA"/>
        </w:rPr>
      </w:pPr>
      <w:r>
        <w:rPr>
          <w:rFonts w:eastAsia="ＭＳ 明朝" w:cs="Arial"/>
          <w:b/>
          <w:bCs/>
          <w:kern w:val="0"/>
          <w:sz w:val="20"/>
          <w:szCs w:val="24"/>
          <w:lang w:val="pt-BR" w:eastAsia="pt-BR" w:bidi="ar-SA"/>
        </w:rPr>
        <w:t>O fiscal deve anotar em expediente próprio as irregularidades encontradas, as providências que determinou, os incidentes verificados e o resultado dessas medidas</w:t>
      </w:r>
      <w:r>
        <w:rPr>
          <w:rFonts w:eastAsia="ＭＳ 明朝" w:cs="Arial"/>
          <w:b/>
          <w:bCs/>
          <w:kern w:val="0"/>
          <w:sz w:val="20"/>
          <w:lang w:val="pt-BR" w:eastAsia="pt-BR" w:bidi="ar-SA"/>
        </w:rPr>
        <w:t>.</w:t>
      </w:r>
    </w:p>
    <w:p>
      <w:pPr>
        <w:pStyle w:val="Normal"/>
        <w:numPr>
          <w:ilvl w:val="2"/>
          <w:numId w:val="171"/>
        </w:numPr>
        <w:ind w:left="284" w:hanging="0"/>
        <w:rPr/>
      </w:pPr>
      <w:r>
        <w:rPr>
          <w:szCs w:val="24"/>
        </w:rPr>
        <w:t>O fiscal poderá solicitar assessoramento técnico necessário; (buscando nos quadros da própria Administração, o conhecimento especializado para assisti-lo.</w:t>
      </w:r>
    </w:p>
    <w:p>
      <w:pPr>
        <w:pStyle w:val="Normal"/>
        <w:ind w:left="0" w:hanging="0"/>
        <w:rPr>
          <w:i/>
          <w:i/>
          <w:iCs/>
        </w:rPr>
      </w:pPr>
      <w:r>
        <w:rPr/>
        <w:t>Gestor do Contrato</w:t>
      </w:r>
    </w:p>
    <w:p>
      <w:pPr>
        <w:pStyle w:val="Normal"/>
        <w:numPr>
          <w:ilvl w:val="1"/>
          <w:numId w:val="172"/>
        </w:numPr>
        <w:ind w:left="0" w:hanging="0"/>
        <w:rPr/>
      </w:pPr>
      <w:r>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pPr>
        <w:pStyle w:val="Normal"/>
        <w:numPr>
          <w:ilvl w:val="1"/>
          <w:numId w:val="173"/>
        </w:numPr>
        <w:ind w:left="0" w:hanging="0"/>
        <w:rPr/>
      </w:pPr>
      <w:r>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pPr>
        <w:pStyle w:val="Normal"/>
        <w:numPr>
          <w:ilvl w:val="1"/>
          <w:numId w:val="174"/>
        </w:numPr>
        <w:ind w:left="0" w:hanging="0"/>
        <w:rPr/>
      </w:pPr>
      <w:r>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pPr>
        <w:pStyle w:val="Normal"/>
        <w:numPr>
          <w:ilvl w:val="1"/>
          <w:numId w:val="175"/>
        </w:numPr>
        <w:ind w:left="0" w:hanging="0"/>
        <w:rPr/>
      </w:pPr>
      <w:r>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pPr>
        <w:pStyle w:val="Normal"/>
        <w:numPr>
          <w:ilvl w:val="1"/>
          <w:numId w:val="176"/>
        </w:numPr>
        <w:ind w:left="0" w:hanging="0"/>
        <w:rPr/>
      </w:pPr>
      <w:r>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pPr>
        <w:pStyle w:val="Normal"/>
        <w:numPr>
          <w:ilvl w:val="1"/>
          <w:numId w:val="177"/>
        </w:numPr>
        <w:ind w:left="0" w:hanging="0"/>
        <w:rPr/>
      </w:pPr>
      <w:r>
        <w:rPr/>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pPr>
        <w:pStyle w:val="Normal"/>
        <w:numPr>
          <w:ilvl w:val="1"/>
          <w:numId w:val="178"/>
        </w:numPr>
        <w:ind w:left="0" w:hanging="0"/>
        <w:rPr/>
      </w:pPr>
      <w:r>
        <w:rPr/>
        <w:t>O gestor do contrato deverá enviar a documentação pertinente ao setor de contratos para a formalização dos procedimentos de liquidação e pagamento, no valor dimensionado pela fiscalização e gestão nos termos do contrato.</w:t>
      </w:r>
    </w:p>
    <w:p>
      <w:pPr>
        <w:pStyle w:val="Normal"/>
        <w:numPr>
          <w:ilvl w:val="0"/>
          <w:numId w:val="2"/>
        </w:numPr>
        <w:ind w:left="0" w:hanging="0"/>
        <w:rPr/>
      </w:pPr>
      <w:r>
        <w:rPr/>
        <w:t>CRITÉRIOS DE MEDIÇÃO E DE PAGAMENTO</w:t>
      </w:r>
    </w:p>
    <w:p>
      <w:pPr>
        <w:pStyle w:val="Normal"/>
        <w:ind w:left="0" w:hanging="0"/>
        <w:rPr/>
      </w:pPr>
      <w:r>
        <w:rPr/>
        <w:t>Recebimento</w:t>
      </w:r>
    </w:p>
    <w:p>
      <w:pPr>
        <w:pStyle w:val="Normal"/>
        <w:numPr>
          <w:ilvl w:val="1"/>
          <w:numId w:val="179"/>
        </w:numPr>
        <w:ind w:left="0" w:hanging="0"/>
        <w:rPr>
          <w:lang w:eastAsia="en-US"/>
        </w:rPr>
      </w:pPr>
      <w:r>
        <w:rPr>
          <w:lang w:eastAsia="en-US"/>
        </w:rPr>
        <w:t xml:space="preserve">Os bens serão recebidos provisoriamente, de forma sumária, no ato da entrega, juntamente com a </w:t>
      </w:r>
      <w:r>
        <w:rPr>
          <w:rFonts w:eastAsia="Calibri"/>
          <w:lang w:eastAsia="en-US"/>
        </w:rPr>
        <w:t>nota</w:t>
      </w:r>
      <w:r>
        <w:rPr>
          <w:lang w:eastAsia="en-US"/>
        </w:rPr>
        <w:t xml:space="preserve"> fiscal ou instrumento de cobrança equivalente, pelo(a) responsável pelo acompanhamento e fiscalização do contrato, para efeito de posterior verificação de sua conformidade com as especificações constantes no Termo de Referência</w:t>
      </w:r>
      <w:r>
        <w:rPr>
          <w:color w:val="FF0000"/>
          <w:lang w:eastAsia="en-US"/>
        </w:rPr>
        <w:t xml:space="preserve"> </w:t>
      </w:r>
      <w:r>
        <w:rPr>
          <w:lang w:eastAsia="en-US"/>
        </w:rPr>
        <w:t>e na proposta.</w:t>
      </w:r>
    </w:p>
    <w:p>
      <w:pPr>
        <w:pStyle w:val="Normal"/>
        <w:numPr>
          <w:ilvl w:val="1"/>
          <w:numId w:val="180"/>
        </w:numPr>
        <w:ind w:left="0" w:hanging="0"/>
        <w:rPr>
          <w:lang w:eastAsia="en-US"/>
        </w:rPr>
      </w:pPr>
      <w:r>
        <w:rPr>
          <w:lang w:eastAsia="en-US"/>
        </w:rPr>
        <w:t>Os bens poderão ser rejeitados, no todo ou em parte, inclusive antes do recebimento provisório, quando em desacordo com as especificações constantes no Termo de Referência</w:t>
      </w:r>
      <w:r>
        <w:rPr>
          <w:color w:val="FF0000"/>
          <w:lang w:eastAsia="en-US"/>
        </w:rPr>
        <w:t xml:space="preserve"> </w:t>
      </w:r>
      <w:r>
        <w:rPr>
          <w:lang w:eastAsia="en-US"/>
        </w:rPr>
        <w:t xml:space="preserve">e na proposta, devendo ser substituídos no prazo de </w:t>
      </w:r>
      <w:r>
        <w:rPr>
          <w:b/>
          <w:bCs/>
          <w:color w:val="auto"/>
          <w:lang w:eastAsia="en-US"/>
        </w:rPr>
        <w:t>15 (quinze)</w:t>
      </w:r>
      <w:r>
        <w:rPr>
          <w:color w:val="FF0000"/>
          <w:lang w:eastAsia="en-US"/>
        </w:rPr>
        <w:t xml:space="preserve"> </w:t>
      </w:r>
      <w:r>
        <w:rPr>
          <w:lang w:eastAsia="en-US"/>
        </w:rPr>
        <w:t>dias, a contar da notificação da contratada, às suas custas, sem prejuízo da aplicação das penalidades.</w:t>
      </w:r>
    </w:p>
    <w:p>
      <w:pPr>
        <w:pStyle w:val="Normal"/>
        <w:numPr>
          <w:ilvl w:val="1"/>
          <w:numId w:val="181"/>
        </w:numPr>
        <w:ind w:left="0" w:hanging="0"/>
        <w:rPr>
          <w:lang w:eastAsia="en-US"/>
        </w:rPr>
      </w:pPr>
      <w:r>
        <w:rPr>
          <w:lang w:eastAsia="en-US"/>
        </w:rPr>
        <w:t xml:space="preserve">O recebimento definitivo ocorrerá no prazo de </w:t>
      </w:r>
      <w:r>
        <w:rPr>
          <w:b/>
          <w:bCs/>
          <w:color w:val="auto"/>
          <w:lang w:eastAsia="en-US"/>
        </w:rPr>
        <w:t>10 (dez) dias úteis</w:t>
      </w:r>
      <w:r>
        <w:rPr>
          <w:color w:val="FF0000"/>
          <w:lang w:eastAsia="en-US"/>
        </w:rPr>
        <w:t xml:space="preserve">, </w:t>
      </w:r>
      <w:r>
        <w:rPr>
          <w:lang w:eastAsia="en-US"/>
        </w:rPr>
        <w:t>a contar do recebimento da nota fiscal ou instrumento de cobrança equivalente pela Administração, após a verificação da qualidade e quantidade do material e consequente aceitação mediante termo detalhado.</w:t>
      </w:r>
    </w:p>
    <w:p>
      <w:pPr>
        <w:pStyle w:val="Normal"/>
        <w:numPr>
          <w:ilvl w:val="1"/>
          <w:numId w:val="182"/>
        </w:numPr>
        <w:ind w:left="0" w:hanging="0"/>
        <w:rPr>
          <w:lang w:eastAsia="en-US"/>
        </w:rPr>
      </w:pPr>
      <w:r>
        <w:rPr>
          <w:lang w:eastAsia="en-US"/>
        </w:rPr>
        <w:t xml:space="preserve">Para as contratações decorrentes de despesas cujos valores não ultrapassem o limite de que trata o </w:t>
      </w:r>
      <w:r>
        <w:fldChar w:fldCharType="begin"/>
      </w:r>
      <w:r>
        <w:rPr>
          <w:rStyle w:val="LinkdaInternet"/>
          <w:lang w:eastAsia="en-US"/>
        </w:rPr>
        <w:instrText xml:space="preserve"> HYPERLINK "http://www.planalto.gov.br/ccivil_03/_ato2019-2022/2021/lei/L14133.htm" \l "art75"</w:instrText>
      </w:r>
      <w:r>
        <w:rPr>
          <w:rStyle w:val="LinkdaInternet"/>
          <w:lang w:eastAsia="en-US"/>
        </w:rPr>
        <w:fldChar w:fldCharType="separate"/>
      </w:r>
      <w:r>
        <w:rPr>
          <w:rStyle w:val="LinkdaInternet"/>
          <w:lang w:eastAsia="en-US"/>
        </w:rPr>
        <w:t>inciso II do art. 75 da Lei nº 14.133, de 2021</w:t>
      </w:r>
      <w:r>
        <w:rPr>
          <w:rStyle w:val="LinkdaInternet"/>
          <w:lang w:eastAsia="en-US"/>
        </w:rPr>
        <w:fldChar w:fldCharType="end"/>
      </w:r>
      <w:r>
        <w:rPr>
          <w:lang w:eastAsia="en-US"/>
        </w:rPr>
        <w:t xml:space="preserve">, o prazo máximo para o recebimento definitivo será de até </w:t>
      </w:r>
      <w:r>
        <w:rPr>
          <w:b/>
          <w:bCs/>
          <w:lang w:eastAsia="en-US"/>
        </w:rPr>
        <w:t>05</w:t>
      </w:r>
      <w:r>
        <w:rPr>
          <w:color w:val="FF0000"/>
          <w:lang w:eastAsia="en-US"/>
        </w:rPr>
        <w:t xml:space="preserve"> </w:t>
      </w:r>
      <w:r>
        <w:rPr>
          <w:b/>
          <w:bCs/>
          <w:color w:val="auto"/>
          <w:lang w:eastAsia="en-US"/>
        </w:rPr>
        <w:t>(cinco)</w:t>
      </w:r>
      <w:r>
        <w:rPr>
          <w:color w:val="FF0000"/>
          <w:lang w:eastAsia="en-US"/>
        </w:rPr>
        <w:t xml:space="preserve"> </w:t>
      </w:r>
      <w:r>
        <w:rPr>
          <w:lang w:eastAsia="en-US"/>
        </w:rPr>
        <w:t>dias úteis.</w:t>
      </w:r>
    </w:p>
    <w:p>
      <w:pPr>
        <w:pStyle w:val="Normal"/>
        <w:numPr>
          <w:ilvl w:val="1"/>
          <w:numId w:val="183"/>
        </w:numPr>
        <w:ind w:left="0" w:hanging="0"/>
        <w:rPr>
          <w:lang w:eastAsia="en-US"/>
        </w:rPr>
      </w:pPr>
      <w:r>
        <w:rPr>
          <w:lang w:eastAsia="en-US"/>
        </w:rPr>
        <w:t xml:space="preserve">O prazo para recebimento definitivo poderá ser excepcionalmente prorrogado, </w:t>
      </w:r>
      <w:r>
        <w:rPr>
          <w:color w:val="auto"/>
          <w:lang w:eastAsia="en-US"/>
        </w:rPr>
        <w:t>de forma justificada, por igual período, quando houver necessidade de diligências para a aferição do ate</w:t>
      </w:r>
      <w:r>
        <w:rPr>
          <w:lang w:eastAsia="en-US"/>
        </w:rPr>
        <w:t>ndimento das exigências contratuais.</w:t>
      </w:r>
    </w:p>
    <w:p>
      <w:pPr>
        <w:pStyle w:val="Normal"/>
        <w:numPr>
          <w:ilvl w:val="1"/>
          <w:numId w:val="184"/>
        </w:numPr>
        <w:ind w:left="0" w:hanging="0"/>
        <w:rPr>
          <w:lang w:eastAsia="en-US"/>
        </w:rPr>
      </w:pPr>
      <w:r>
        <w:rPr>
          <w:lang w:eastAsia="en-US"/>
        </w:rPr>
        <w:t xml:space="preserve">No caso de controvérsia sobre a execução do objeto, quanto à dimensão, qualidade e quantidade, deverá ser observado o teor do </w:t>
      </w:r>
      <w:r>
        <w:fldChar w:fldCharType="begin"/>
      </w:r>
      <w:r>
        <w:rPr>
          <w:rStyle w:val="LinkdaInternet"/>
          <w:lang w:eastAsia="en-US"/>
        </w:rPr>
        <w:instrText xml:space="preserve"> HYPERLINK "http://www.planalto.gov.br/ccivil_03/_ato2019-2022/2021/lei/L14133.htm" \l "art143"</w:instrText>
      </w:r>
      <w:r>
        <w:rPr>
          <w:rStyle w:val="LinkdaInternet"/>
          <w:lang w:eastAsia="en-US"/>
        </w:rPr>
        <w:fldChar w:fldCharType="separate"/>
      </w:r>
      <w:r>
        <w:rPr>
          <w:rStyle w:val="LinkdaInternet"/>
          <w:lang w:eastAsia="en-US"/>
        </w:rPr>
        <w:t>art. 143 da Lei nº 14.133, de 2021</w:t>
      </w:r>
      <w:r>
        <w:rPr>
          <w:rStyle w:val="LinkdaInternet"/>
          <w:lang w:eastAsia="en-US"/>
        </w:rPr>
        <w:fldChar w:fldCharType="end"/>
      </w:r>
      <w:r>
        <w:rPr>
          <w:lang w:eastAsia="en-US"/>
        </w:rPr>
        <w:t>, comunicando-se à empresa para emissão de Nota Fiscal no que pertine à parcela incontroversa da execução do objeto, para efeito de liquidação e pagamento.</w:t>
      </w:r>
    </w:p>
    <w:p>
      <w:pPr>
        <w:pStyle w:val="Normal"/>
        <w:numPr>
          <w:ilvl w:val="1"/>
          <w:numId w:val="185"/>
        </w:numPr>
        <w:ind w:left="0" w:hanging="0"/>
        <w:rPr>
          <w:lang w:eastAsia="en-US"/>
        </w:rPr>
      </w:pPr>
      <w:r>
        <w:rPr>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pPr>
        <w:pStyle w:val="Normal"/>
        <w:numPr>
          <w:ilvl w:val="1"/>
          <w:numId w:val="186"/>
        </w:numPr>
        <w:ind w:left="0" w:hanging="0"/>
        <w:rPr>
          <w:lang w:eastAsia="en-US"/>
        </w:rPr>
      </w:pPr>
      <w:r>
        <w:rPr>
          <w:lang w:eastAsia="en-US"/>
        </w:rPr>
        <w:t>O recebimento provisório ou definitivo não excluirá a responsabilidade civil pela solidez e pela segurança dos bens nem a responsabilidade ético-profissional pela perfeita execução do contrato.</w:t>
      </w:r>
    </w:p>
    <w:p>
      <w:pPr>
        <w:pStyle w:val="Normal"/>
        <w:numPr>
          <w:ilvl w:val="0"/>
          <w:numId w:val="0"/>
        </w:numPr>
        <w:spacing w:lineRule="auto" w:line="240" w:before="57" w:after="57"/>
        <w:ind w:left="999" w:hanging="0"/>
        <w:jc w:val="both"/>
        <w:rPr>
          <w:b/>
          <w:b/>
          <w:bCs/>
        </w:rPr>
      </w:pPr>
      <w:r>
        <w:rPr>
          <w:b/>
          <w:bCs/>
        </w:rPr>
      </w:r>
    </w:p>
    <w:p>
      <w:pPr>
        <w:pStyle w:val="Normal"/>
        <w:ind w:left="0" w:hanging="0"/>
        <w:rPr/>
      </w:pPr>
      <w:r>
        <w:rPr/>
        <w:t>Liquidação</w:t>
      </w:r>
    </w:p>
    <w:p>
      <w:pPr>
        <w:pStyle w:val="Normal"/>
        <w:numPr>
          <w:ilvl w:val="1"/>
          <w:numId w:val="187"/>
        </w:numPr>
        <w:ind w:left="0" w:hanging="0"/>
        <w:rPr>
          <w:lang w:eastAsia="en-US"/>
        </w:rPr>
      </w:pPr>
      <w:r>
        <w:rPr>
          <w:lang w:eastAsia="en-US"/>
        </w:rPr>
        <w:t>Recebida a Nota Fiscal ou documento de cobrança equivalente, correrá o prazo de dez dias úteis para fins de liquidação, na forma desta seção, prorrogáveis por igual período, nos termos do art. 7º, §3</w:t>
      </w:r>
      <w:r>
        <w:rPr>
          <w:rStyle w:val="LinkdaInternet"/>
          <w:lang w:eastAsia="en-US"/>
        </w:rPr>
        <w:t>º da Instrução Normativa SEGES/ME nº 77/2022</w:t>
      </w:r>
      <w:r>
        <w:rPr>
          <w:lang w:eastAsia="en-US"/>
        </w:rPr>
        <w:t>.</w:t>
      </w:r>
    </w:p>
    <w:p>
      <w:pPr>
        <w:pStyle w:val="Normal"/>
        <w:numPr>
          <w:ilvl w:val="2"/>
          <w:numId w:val="188"/>
        </w:numPr>
        <w:ind w:left="284" w:hanging="0"/>
        <w:rPr/>
      </w:pPr>
      <w:r>
        <w:rPr/>
        <w:t xml:space="preserve">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rPr>
        <w:instrText xml:space="preserve"> HYPERLINK "http://www.planalto.gov.br/ccivil_03/_ato2019-2022/2021/lei/L14133.htm" \l "art75"</w:instrText>
      </w:r>
      <w:r>
        <w:rPr>
          <w:rStyle w:val="LinkdaInternet"/>
        </w:rPr>
        <w:fldChar w:fldCharType="separate"/>
      </w:r>
      <w:r>
        <w:rPr>
          <w:rStyle w:val="LinkdaInternet"/>
        </w:rPr>
        <w:t>inciso II do art. 75 da Lei nº 14.133, de 2021</w:t>
      </w:r>
      <w:r>
        <w:rPr>
          <w:rStyle w:val="LinkdaInternet"/>
        </w:rPr>
        <w:fldChar w:fldCharType="end"/>
      </w:r>
      <w:r>
        <w:rPr/>
        <w:t>.</w:t>
      </w:r>
    </w:p>
    <w:p>
      <w:pPr>
        <w:pStyle w:val="Normal"/>
        <w:numPr>
          <w:ilvl w:val="1"/>
          <w:numId w:val="189"/>
        </w:numPr>
        <w:ind w:left="0" w:hanging="0"/>
        <w:rPr>
          <w:lang w:eastAsia="en-US"/>
        </w:rPr>
      </w:pPr>
      <w:r>
        <w:rPr>
          <w:lang w:eastAsia="en-US"/>
        </w:rPr>
        <w:t xml:space="preserve">Para fins de liquidação, o setor competente deverá verificar se a nota fiscal ou instrumento de cobrança equivalente apresentado expressa os elementos necessários e essenciais do documento, tais como: </w:t>
      </w:r>
    </w:p>
    <w:p>
      <w:pPr>
        <w:pStyle w:val="Normal"/>
        <w:numPr>
          <w:ilvl w:val="2"/>
          <w:numId w:val="190"/>
        </w:numPr>
        <w:ind w:left="284" w:hanging="0"/>
        <w:rPr>
          <w:lang w:eastAsia="en-US"/>
        </w:rPr>
      </w:pPr>
      <w:r>
        <w:rPr>
          <w:lang w:eastAsia="en-US"/>
        </w:rPr>
        <w:t>o prazo de validade;</w:t>
      </w:r>
    </w:p>
    <w:p>
      <w:pPr>
        <w:pStyle w:val="Normal"/>
        <w:numPr>
          <w:ilvl w:val="2"/>
          <w:numId w:val="191"/>
        </w:numPr>
        <w:ind w:left="284" w:hanging="0"/>
        <w:rPr>
          <w:lang w:eastAsia="en-US"/>
        </w:rPr>
      </w:pPr>
      <w:r>
        <w:rPr>
          <w:lang w:eastAsia="en-US"/>
        </w:rPr>
        <w:t xml:space="preserve">a data da emissão; </w:t>
      </w:r>
    </w:p>
    <w:p>
      <w:pPr>
        <w:pStyle w:val="Normal"/>
        <w:numPr>
          <w:ilvl w:val="2"/>
          <w:numId w:val="192"/>
        </w:numPr>
        <w:ind w:left="284" w:hanging="0"/>
        <w:rPr>
          <w:lang w:eastAsia="en-US"/>
        </w:rPr>
      </w:pPr>
      <w:r>
        <w:rPr>
          <w:lang w:eastAsia="en-US"/>
        </w:rPr>
        <w:t xml:space="preserve">os dados do contrato e do órgão contratante; </w:t>
      </w:r>
    </w:p>
    <w:p>
      <w:pPr>
        <w:pStyle w:val="Normal"/>
        <w:numPr>
          <w:ilvl w:val="2"/>
          <w:numId w:val="193"/>
        </w:numPr>
        <w:ind w:left="284" w:hanging="0"/>
        <w:rPr>
          <w:lang w:eastAsia="en-US"/>
        </w:rPr>
      </w:pPr>
      <w:r>
        <w:rPr>
          <w:lang w:eastAsia="en-US"/>
        </w:rPr>
        <w:t xml:space="preserve">o período respectivo de execução do contrato; </w:t>
      </w:r>
    </w:p>
    <w:p>
      <w:pPr>
        <w:pStyle w:val="Normal"/>
        <w:numPr>
          <w:ilvl w:val="2"/>
          <w:numId w:val="194"/>
        </w:numPr>
        <w:ind w:left="284" w:hanging="0"/>
        <w:rPr>
          <w:lang w:eastAsia="en-US"/>
        </w:rPr>
      </w:pPr>
      <w:r>
        <w:rPr>
          <w:lang w:eastAsia="en-US"/>
        </w:rPr>
        <w:t xml:space="preserve">o valor a pagar; e </w:t>
      </w:r>
    </w:p>
    <w:p>
      <w:pPr>
        <w:pStyle w:val="Normal"/>
        <w:numPr>
          <w:ilvl w:val="2"/>
          <w:numId w:val="195"/>
        </w:numPr>
        <w:ind w:left="284" w:hanging="0"/>
        <w:rPr>
          <w:lang w:eastAsia="en-US"/>
        </w:rPr>
      </w:pPr>
      <w:r>
        <w:rPr>
          <w:lang w:eastAsia="en-US"/>
        </w:rPr>
        <w:t>eventual destaque do valor de retenções tributárias cabíveis.</w:t>
      </w:r>
    </w:p>
    <w:p>
      <w:pPr>
        <w:pStyle w:val="Normal"/>
        <w:numPr>
          <w:ilvl w:val="1"/>
          <w:numId w:val="196"/>
        </w:numPr>
        <w:ind w:left="0" w:hanging="0"/>
        <w:rPr>
          <w:lang w:eastAsia="en-US"/>
        </w:rPr>
      </w:pPr>
      <w:r>
        <w:rPr>
          <w:rFonts w:eastAsia="Calibri"/>
          <w:lang w:eastAsia="en-US"/>
        </w:rPr>
        <w:t xml:space="preserve"> </w:t>
      </w:r>
      <w:r>
        <w:rPr>
          <w:rFonts w:eastAsia="Calibri"/>
          <w:lang w:eastAsia="en-US"/>
        </w:rPr>
        <w:t xml:space="preserve">Havendo erro na apresentação da nota fiscal ou instrumento de cobrança equivalente, ou circunstância que impeça a </w:t>
      </w:r>
      <w:r>
        <w:rPr>
          <w:lang w:eastAsia="en-US"/>
        </w:rPr>
        <w:t>liquidação da despesa, esta ficará sobrestada até que o contratado providencie as medidas saneadoras, reiniciando-se o prazo após a comprovação da regularização da situação, sem ônus ao contratante;</w:t>
      </w:r>
    </w:p>
    <w:p>
      <w:pPr>
        <w:pStyle w:val="Normal"/>
        <w:numPr>
          <w:ilvl w:val="1"/>
          <w:numId w:val="197"/>
        </w:numPr>
        <w:ind w:left="0" w:hanging="0"/>
        <w:rPr>
          <w:lang w:eastAsia="en-US"/>
        </w:rPr>
      </w:pPr>
      <w:r>
        <w:rPr>
          <w:lang w:eastAsia="en-US"/>
        </w:rPr>
        <w:t xml:space="preserve"> </w:t>
      </w:r>
      <w:r>
        <w:rPr>
          <w:lang w:eastAsia="en-US"/>
        </w:rPr>
        <w:t xml:space="preserve">A nota fiscal ou instrumento de cobrança equivalente deverá ser obrigatoriamente acompanhado da comprovação da regularidade fiscal, constatada por meio de consulta </w:t>
      </w:r>
      <w:r>
        <w:rPr>
          <w:i/>
          <w:iCs/>
          <w:lang w:eastAsia="en-US"/>
        </w:rPr>
        <w:t>on-line</w:t>
      </w:r>
      <w:r>
        <w:rPr>
          <w:lang w:eastAsia="en-US"/>
        </w:rPr>
        <w:t xml:space="preserve"> ao SICAF ou, na impossibilidade de acesso ao referido Sistema, mediante consulta aos sítios eletrônicos oficiais ou à documentação mencionada no </w:t>
      </w:r>
      <w:r>
        <w:fldChar w:fldCharType="begin"/>
      </w:r>
      <w:r>
        <w:rPr>
          <w:rStyle w:val="LinkdaInternet"/>
          <w:lang w:eastAsia="en-US"/>
        </w:rPr>
        <w:instrText xml:space="preserve"> HYPERLINK "http://www.planalto.gov.br/ccivil_03/_ato2019-2022/2021/lei/L14133.htm" \l "art68"</w:instrText>
      </w:r>
      <w:r>
        <w:rPr>
          <w:rStyle w:val="LinkdaInternet"/>
          <w:lang w:eastAsia="en-US"/>
        </w:rPr>
        <w:fldChar w:fldCharType="separate"/>
      </w:r>
      <w:r>
        <w:rPr>
          <w:rStyle w:val="LinkdaInternet"/>
          <w:lang w:eastAsia="en-US"/>
        </w:rPr>
        <w:t xml:space="preserve">art. 68 da Lei nº 14.133, de 2021.  </w:t>
      </w:r>
      <w:r>
        <w:rPr>
          <w:rStyle w:val="LinkdaInternet"/>
          <w:lang w:eastAsia="en-US"/>
        </w:rPr>
        <w:fldChar w:fldCharType="end"/>
      </w:r>
      <w:r>
        <w:rPr>
          <w:lang w:eastAsia="en-US"/>
        </w:rPr>
        <w:t xml:space="preserve"> </w:t>
      </w:r>
    </w:p>
    <w:p>
      <w:pPr>
        <w:pStyle w:val="Normal"/>
        <w:numPr>
          <w:ilvl w:val="1"/>
          <w:numId w:val="198"/>
        </w:numPr>
        <w:ind w:left="0" w:hanging="0"/>
        <w:rPr/>
      </w:pPr>
      <w:r>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pPr>
        <w:pStyle w:val="Normal"/>
        <w:numPr>
          <w:ilvl w:val="1"/>
          <w:numId w:val="199"/>
        </w:numPr>
        <w:ind w:left="0" w:hanging="0"/>
        <w:rPr>
          <w:lang w:eastAsia="en-US"/>
        </w:rPr>
      </w:pPr>
      <w:r>
        <w:rPr>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pPr>
        <w:pStyle w:val="Normal"/>
        <w:numPr>
          <w:ilvl w:val="1"/>
          <w:numId w:val="200"/>
        </w:numPr>
        <w:ind w:left="0" w:hanging="0"/>
        <w:rPr>
          <w:lang w:eastAsia="en-US"/>
        </w:rPr>
      </w:pPr>
      <w:r>
        <w:rPr>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pPr>
        <w:pStyle w:val="Normal"/>
        <w:numPr>
          <w:ilvl w:val="1"/>
          <w:numId w:val="201"/>
        </w:numPr>
        <w:ind w:left="0" w:hanging="0"/>
        <w:rPr>
          <w:lang w:eastAsia="en-US"/>
        </w:rPr>
      </w:pPr>
      <w:r>
        <w:rPr>
          <w:lang w:eastAsia="en-US"/>
        </w:rPr>
        <w:t xml:space="preserve">Persistindo a irregularidade, o contratante deverá adotar as medidas necessárias à rescisão contratual nos autos do processo administrativo correspondente, assegurada ao contratado a ampla defesa. </w:t>
      </w:r>
    </w:p>
    <w:p>
      <w:pPr>
        <w:pStyle w:val="Normal"/>
        <w:numPr>
          <w:ilvl w:val="1"/>
          <w:numId w:val="202"/>
        </w:numPr>
        <w:ind w:left="0" w:hanging="0"/>
        <w:rPr>
          <w:lang w:eastAsia="en-US"/>
        </w:rPr>
      </w:pPr>
      <w:r>
        <w:rPr>
          <w:lang w:eastAsia="en-US"/>
        </w:rPr>
        <w:t xml:space="preserve">Havendo a efetiva execução do objeto, os pagamentos serão realizados normalmente, até que se decida pela rescisão do contrato, caso o contratado não regularize sua situação junto ao SICAF.  </w:t>
      </w:r>
    </w:p>
    <w:p>
      <w:pPr>
        <w:pStyle w:val="Normal"/>
        <w:ind w:left="0" w:hanging="0"/>
        <w:rPr/>
      </w:pPr>
      <w:r>
        <w:rPr/>
        <w:t>Prazo de pagamento</w:t>
      </w:r>
    </w:p>
    <w:p>
      <w:pPr>
        <w:pStyle w:val="Normal"/>
        <w:numPr>
          <w:ilvl w:val="1"/>
          <w:numId w:val="203"/>
        </w:numPr>
        <w:ind w:left="0" w:hanging="0"/>
        <w:rPr/>
      </w:pPr>
      <w:r>
        <w:rPr/>
        <w:t xml:space="preserve">O pagamento será efetuado no prazo de até 10 (dez) dias úteis contados da finalização da liquidação da despesa, conforme seção anterior, nos termos da </w:t>
      </w:r>
      <w:hyperlink r:id="rId3">
        <w:r>
          <w:rPr>
            <w:rStyle w:val="LinkdaInternet"/>
          </w:rPr>
          <w:t>Instrução Normativa SEGES/ME nº 77, de 2022</w:t>
        </w:r>
      </w:hyperlink>
      <w:r>
        <w:rPr/>
        <w:t>.</w:t>
      </w:r>
    </w:p>
    <w:p>
      <w:pPr>
        <w:pStyle w:val="Normal"/>
        <w:numPr>
          <w:ilvl w:val="1"/>
          <w:numId w:val="204"/>
        </w:numPr>
        <w:ind w:left="0" w:hanging="0"/>
        <w:rPr>
          <w:lang w:eastAsia="en-US"/>
        </w:rPr>
      </w:pPr>
      <w:r>
        <w:rPr>
          <w:lang w:eastAsia="en-US"/>
        </w:rPr>
        <w:t xml:space="preserve">No caso de atraso pelo Contratante, os valores devidos ao contratado serão atualizados monetariamente entre o termo final do prazo de pagamento até a data de sua efetiva realização, mediante aplicação do índice </w:t>
      </w:r>
      <w:r>
        <w:rPr>
          <w:rFonts w:eastAsia="ＭＳ 明朝" w:cs="Times New Roman" w:eastAsiaTheme="minorEastAsia"/>
          <w:b/>
          <w:bCs/>
          <w:i w:val="false"/>
          <w:iCs w:val="false"/>
          <w:color w:val="000000"/>
          <w:kern w:val="0"/>
          <w:sz w:val="20"/>
          <w:szCs w:val="20"/>
          <w:shd w:fill="FFFFFF" w:val="clear"/>
          <w:lang w:val="pt-BR" w:eastAsia="en-US" w:bidi="ar-SA"/>
        </w:rPr>
        <w:t>IPCA/IBGE</w:t>
      </w:r>
      <w:r>
        <w:rPr>
          <w:rFonts w:eastAsia="ＭＳ 明朝" w:cs="Times New Roman" w:eastAsiaTheme="minorEastAsia"/>
          <w:color w:val="auto"/>
          <w:kern w:val="0"/>
          <w:sz w:val="20"/>
          <w:szCs w:val="20"/>
          <w:lang w:val="pt-BR" w:eastAsia="en-US" w:bidi="ar-SA"/>
        </w:rPr>
        <w:t xml:space="preserve"> </w:t>
      </w:r>
      <w:r>
        <w:rPr>
          <w:lang w:eastAsia="en-US"/>
        </w:rPr>
        <w:t>de correção monetária.</w:t>
      </w:r>
    </w:p>
    <w:p>
      <w:pPr>
        <w:pStyle w:val="Normal"/>
        <w:ind w:left="0" w:hanging="0"/>
        <w:rPr/>
      </w:pPr>
      <w:r>
        <w:rPr/>
        <w:t>Forma de pagamento</w:t>
      </w:r>
    </w:p>
    <w:p>
      <w:pPr>
        <w:pStyle w:val="Normal"/>
        <w:numPr>
          <w:ilvl w:val="1"/>
          <w:numId w:val="205"/>
        </w:numPr>
        <w:ind w:left="0" w:hanging="0"/>
        <w:rPr>
          <w:lang w:eastAsia="en-US"/>
        </w:rPr>
      </w:pPr>
      <w:r>
        <w:rPr>
          <w:lang w:eastAsia="en-US"/>
        </w:rPr>
        <w:t>O pagamento será realizado por meio de ordem bancária, para crédito em banco, agência e conta corrente indicados pelo contratado.</w:t>
      </w:r>
    </w:p>
    <w:p>
      <w:pPr>
        <w:pStyle w:val="Normal"/>
        <w:numPr>
          <w:ilvl w:val="1"/>
          <w:numId w:val="206"/>
        </w:numPr>
        <w:ind w:left="0" w:hanging="0"/>
        <w:rPr>
          <w:lang w:eastAsia="en-US"/>
        </w:rPr>
      </w:pPr>
      <w:r>
        <w:rPr>
          <w:lang w:eastAsia="en-US"/>
        </w:rPr>
        <w:t>Será considerada data do pagamento o dia em que constar como emitida a ordem bancária para pagamento.</w:t>
      </w:r>
    </w:p>
    <w:p>
      <w:pPr>
        <w:pStyle w:val="Normal"/>
        <w:numPr>
          <w:ilvl w:val="1"/>
          <w:numId w:val="207"/>
        </w:numPr>
        <w:ind w:left="0" w:hanging="0"/>
        <w:rPr>
          <w:lang w:eastAsia="en-US"/>
        </w:rPr>
      </w:pPr>
      <w:r>
        <w:rPr>
          <w:lang w:eastAsia="en-US"/>
        </w:rPr>
        <w:t>Quando do pagamento, será efetuada a retenção tributária prevista na legislação aplicável.</w:t>
      </w:r>
    </w:p>
    <w:p>
      <w:pPr>
        <w:pStyle w:val="Normal"/>
        <w:numPr>
          <w:ilvl w:val="2"/>
          <w:numId w:val="208"/>
        </w:numPr>
        <w:ind w:left="284" w:hanging="0"/>
        <w:rPr>
          <w:lang w:eastAsia="en-US"/>
        </w:rPr>
      </w:pPr>
      <w:r>
        <w:rPr>
          <w:lang w:eastAsia="en-US"/>
        </w:rPr>
        <w:t>Independentemente do percentual de tributo inserido na planilha, quando houver, serão retidos na fonte, quando da realização do pagamento, os percentuais estabelecidos na legislação vigente.</w:t>
      </w:r>
    </w:p>
    <w:p>
      <w:pPr>
        <w:pStyle w:val="Normal"/>
        <w:numPr>
          <w:ilvl w:val="1"/>
          <w:numId w:val="209"/>
        </w:numPr>
        <w:ind w:left="0" w:hanging="0"/>
        <w:rPr>
          <w:lang w:eastAsia="en-US"/>
        </w:rPr>
      </w:pPr>
      <w:r>
        <w:rPr>
          <w:lang w:eastAsia="en-US"/>
        </w:rPr>
        <w:t xml:space="preserve">O contratado regularmente optante pelo Simples Nacional, nos termos da </w:t>
      </w:r>
      <w:hyperlink r:id="rId4">
        <w:r>
          <w:rPr>
            <w:rStyle w:val="LinkdaInternet"/>
            <w:lang w:eastAsia="en-US"/>
          </w:rPr>
          <w:t>Lei Complementar nº 123, de 2006</w:t>
        </w:r>
      </w:hyperlink>
      <w:r>
        <w:rPr>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numPr>
          <w:ilvl w:val="0"/>
          <w:numId w:val="0"/>
        </w:numPr>
        <w:ind w:left="284" w:hanging="0"/>
        <w:rPr>
          <w:strike/>
        </w:rPr>
      </w:pPr>
      <w:r>
        <w:rPr>
          <w:strike/>
        </w:rPr>
      </w:r>
    </w:p>
    <w:p>
      <w:pPr>
        <w:pStyle w:val="Normal"/>
        <w:ind w:left="0" w:hanging="0"/>
        <w:rPr/>
      </w:pPr>
      <w:r>
        <w:rPr/>
        <w:t>Cessão de crédito</w:t>
      </w:r>
    </w:p>
    <w:p>
      <w:pPr>
        <w:pStyle w:val="Normal"/>
        <w:numPr>
          <w:ilvl w:val="1"/>
          <w:numId w:val="210"/>
        </w:numPr>
        <w:ind w:left="0" w:hanging="0"/>
        <w:rPr>
          <w:lang w:eastAsia="en-US"/>
        </w:rPr>
      </w:pPr>
      <w:r>
        <w:rPr>
          <w:lang w:eastAsia="en-US"/>
        </w:rPr>
        <w:t xml:space="preserve">É admitida a cessão fiduciária de direitos creditícios com instituição financeira, nos termos e de acordo com os procedimentos previstos na </w:t>
      </w:r>
      <w:hyperlink r:id="rId5">
        <w:r>
          <w:rPr>
            <w:rStyle w:val="LinkdaInternet"/>
            <w:lang w:eastAsia="en-US"/>
          </w:rPr>
          <w:t>Instrução Normativa SEGES/ME nº 53, de 8 de Julho de 2020</w:t>
        </w:r>
      </w:hyperlink>
      <w:r>
        <w:rPr>
          <w:lang w:eastAsia="en-US"/>
        </w:rPr>
        <w:t>, conforme as regras deste presente tópico.</w:t>
      </w:r>
    </w:p>
    <w:p>
      <w:pPr>
        <w:pStyle w:val="Normal"/>
        <w:numPr>
          <w:ilvl w:val="2"/>
          <w:numId w:val="211"/>
        </w:numPr>
        <w:ind w:left="284" w:hanging="0"/>
        <w:rPr>
          <w:lang w:eastAsia="en-US"/>
        </w:rPr>
      </w:pPr>
      <w:bookmarkStart w:id="1" w:name="_Ref118216946"/>
      <w:r>
        <w:rPr>
          <w:lang w:eastAsia="en-US"/>
        </w:rPr>
        <w:t>As cessões de crédito não fiduciárias dependerão de prévia aprovação do contratant</w:t>
      </w:r>
      <w:bookmarkEnd w:id="1"/>
      <w:r>
        <w:rPr>
          <w:lang w:eastAsia="en-US"/>
        </w:rPr>
        <w:t>e.</w:t>
      </w:r>
    </w:p>
    <w:p>
      <w:pPr>
        <w:pStyle w:val="Normal"/>
        <w:numPr>
          <w:ilvl w:val="1"/>
          <w:numId w:val="212"/>
        </w:numPr>
        <w:ind w:left="0" w:hanging="0"/>
        <w:rPr>
          <w:lang w:eastAsia="en-US"/>
        </w:rPr>
      </w:pPr>
      <w:r>
        <w:rPr>
          <w:lang w:eastAsia="en-US"/>
        </w:rPr>
        <w:t>A eficácia da cessão de crédito, de qualquer natureza, em relação à Administração, está condicionada à celebração de termo aditivo ao contrato administrativo.</w:t>
      </w:r>
    </w:p>
    <w:p>
      <w:pPr>
        <w:pStyle w:val="Normal"/>
        <w:numPr>
          <w:ilvl w:val="1"/>
          <w:numId w:val="213"/>
        </w:numPr>
        <w:ind w:left="0" w:hanging="0"/>
        <w:rPr>
          <w:lang w:eastAsia="en-US"/>
        </w:rPr>
      </w:pPr>
      <w:r>
        <w:rPr>
          <w:lang w:eastAsia="en-US"/>
        </w:rPr>
        <w:t xml:space="preserve">Sem prejuízo do regular atendimento da obrigação contratual de cumprimento de todas as condições de habilitação por parte do contratado (cedente), a celebração do aditamento de cessão de crédito e a realização dos pagamentos respectivos também se condicionam à regularidade fiscal e trabalhista do cessionário, bem como à certificação de que o cessionário não se encontra impedido de licitar e contratar com o Poder Público, conforme a legislação em vigor, ou de receber benefícios ou incentivos fiscais ou creditícios, direta ou indiretamente, conforme </w:t>
      </w:r>
      <w:r>
        <w:fldChar w:fldCharType="begin"/>
      </w:r>
      <w:r>
        <w:rPr>
          <w:rStyle w:val="LinkdaInternet"/>
          <w:lang w:eastAsia="en-US"/>
        </w:rPr>
        <w:instrText xml:space="preserve"> HYPERLINK "https://www.planalto.gov.br/ccivil_03/leis/l8429.htm" \l ":~:text=LEI Nº 8.429%2C DE 2 DE JUNHO DE 1992&amp;text=Dispõe sobre as sanções aplicáveis,fundacional e dá outras providências."</w:instrText>
      </w:r>
      <w:r>
        <w:rPr>
          <w:rStyle w:val="LinkdaInternet"/>
          <w:lang w:eastAsia="en-US"/>
        </w:rPr>
        <w:fldChar w:fldCharType="separate"/>
      </w:r>
      <w:r>
        <w:rPr>
          <w:rStyle w:val="LinkdaInternet"/>
          <w:lang w:eastAsia="en-US"/>
        </w:rPr>
        <w:t>o art. 12 da Lei nº 8.429, de 1992</w:t>
      </w:r>
      <w:r>
        <w:rPr>
          <w:rStyle w:val="LinkdaInternet"/>
          <w:lang w:eastAsia="en-US"/>
        </w:rPr>
        <w:fldChar w:fldCharType="end"/>
      </w:r>
      <w:r>
        <w:rPr>
          <w:lang w:eastAsia="en-US"/>
        </w:rPr>
        <w:t xml:space="preserve">, nos termos do </w:t>
      </w:r>
      <w:hyperlink r:id="rId6">
        <w:r>
          <w:rPr>
            <w:rStyle w:val="LinkdaInternet"/>
            <w:lang w:eastAsia="en-US"/>
          </w:rPr>
          <w:t>Parecer JL-01, de 18 de maio de 2020.</w:t>
        </w:r>
      </w:hyperlink>
    </w:p>
    <w:p>
      <w:pPr>
        <w:pStyle w:val="Normal"/>
        <w:numPr>
          <w:ilvl w:val="1"/>
          <w:numId w:val="214"/>
        </w:numPr>
        <w:ind w:left="0" w:hanging="0"/>
        <w:rPr/>
      </w:pPr>
      <w:r>
        <w:rPr/>
        <w:t>O crédito a ser pago à cessionária é exatamente aquele que seria destinado à cedente (contratado) pela execução do objeto contratual, restando absolutamente incólumes todas as defesas e exceções ao pagamento e todas as demais cláusulas exorbitantes ao direito comum aplicáveis no regime jurídico de direito público incidente sobre os contratos administrativos, incluindo a possibilidade de pagamento em conta vinculada ou de pagamento pela efetiva comprovação do fato gerador, quando for o caso, e o desconto de multas, glosas e prejuízos causados à Administração.</w:t>
      </w:r>
      <w:r>
        <w:rPr>
          <w:sz w:val="19"/>
          <w:szCs w:val="19"/>
        </w:rPr>
        <w:t xml:space="preserve"> (INSTRUÇÃO NORMATIVA Nº 53, DE 8 DE JULHO DE 2020 e Anexos)</w:t>
      </w:r>
    </w:p>
    <w:p>
      <w:pPr>
        <w:pStyle w:val="Normal"/>
        <w:numPr>
          <w:ilvl w:val="1"/>
          <w:numId w:val="215"/>
        </w:numPr>
        <w:ind w:left="0" w:hanging="0"/>
        <w:rPr>
          <w:lang w:eastAsia="en-US"/>
        </w:rPr>
      </w:pPr>
      <w:r>
        <w:rPr>
          <w:lang w:eastAsia="en-US"/>
        </w:rPr>
        <w:t>A cessão de crédito não afetará a execução do objeto contratado, que continuará sob a integral responsabilidade do contratado.</w:t>
      </w:r>
    </w:p>
    <w:p>
      <w:pPr>
        <w:pStyle w:val="Normal"/>
        <w:numPr>
          <w:ilvl w:val="0"/>
          <w:numId w:val="2"/>
        </w:numPr>
        <w:ind w:left="0" w:hanging="0"/>
        <w:rPr/>
      </w:pPr>
      <w:r>
        <w:rPr/>
        <w:t>FORMA E CRITÉRIOS DE SELEÇÃO DO FORNECEDOR E FORMA DE FORNECIMENTO</w:t>
      </w:r>
    </w:p>
    <w:p>
      <w:pPr>
        <w:pStyle w:val="Normal"/>
        <w:ind w:left="0" w:hanging="0"/>
        <w:rPr>
          <w:highlight w:val="yellow"/>
        </w:rPr>
      </w:pPr>
      <w:r>
        <w:rPr/>
        <w:t>Forma de seleção e critério de julgamento da proposta</w:t>
      </w:r>
    </w:p>
    <w:p>
      <w:pPr>
        <w:pStyle w:val="Normal"/>
        <w:numPr>
          <w:ilvl w:val="1"/>
          <w:numId w:val="216"/>
        </w:numPr>
        <w:ind w:left="0" w:hanging="0"/>
        <w:rPr/>
      </w:pPr>
      <w:r>
        <w:rPr/>
        <w:t xml:space="preserve">O fornecedor será selecionado por meio da realização de procedimento de LICITAÇÃO, na modalidade PREGÃO, sob a forma ELETRÔNICA, com adoção do critério de julgamento pelo </w:t>
      </w:r>
      <w:r>
        <w:rPr>
          <w:rFonts w:eastAsia="ＭＳ 明朝" w:cs="Times New Roman" w:eastAsiaTheme="minorEastAsia"/>
          <w:b/>
          <w:bCs/>
          <w:color w:val="auto"/>
          <w:kern w:val="0"/>
          <w:sz w:val="20"/>
          <w:szCs w:val="20"/>
          <w:lang w:val="pt-BR" w:eastAsia="en-US" w:bidi="ar-SA"/>
        </w:rPr>
        <w:t>MENOR PREÇO.</w:t>
      </w:r>
    </w:p>
    <w:p>
      <w:pPr>
        <w:pStyle w:val="Normal"/>
        <w:ind w:left="0" w:hanging="0"/>
        <w:rPr/>
      </w:pPr>
      <w:r>
        <w:rPr/>
        <w:t>Forma de fornecimento</w:t>
      </w:r>
    </w:p>
    <w:p>
      <w:pPr>
        <w:pStyle w:val="Normal"/>
        <w:numPr>
          <w:ilvl w:val="1"/>
          <w:numId w:val="217"/>
        </w:numPr>
        <w:ind w:left="0" w:hanging="0"/>
        <w:rPr/>
      </w:pPr>
      <w:r>
        <w:rPr>
          <w:rStyle w:val="Normaltextrun"/>
          <w:shd w:fill="FFFFFF" w:val="clear"/>
        </w:rPr>
        <w:t xml:space="preserve">O </w:t>
      </w:r>
      <w:r>
        <w:rPr>
          <w:rStyle w:val="Findhit"/>
          <w:shd w:fill="FFFFFF" w:val="clear"/>
        </w:rPr>
        <w:t xml:space="preserve">fornecimento do objeto será </w:t>
      </w:r>
      <w:r>
        <w:rPr>
          <w:b/>
          <w:bCs/>
          <w:color w:val="auto"/>
        </w:rPr>
        <w:t>integral</w:t>
      </w:r>
    </w:p>
    <w:p>
      <w:pPr>
        <w:pStyle w:val="Normal"/>
        <w:ind w:left="0" w:hanging="0"/>
        <w:rPr/>
      </w:pPr>
      <w:r>
        <w:rPr/>
        <w:t>Exigências de habilitação</w:t>
      </w:r>
    </w:p>
    <w:p>
      <w:pPr>
        <w:pStyle w:val="Normal"/>
        <w:numPr>
          <w:ilvl w:val="1"/>
          <w:numId w:val="218"/>
        </w:numPr>
        <w:ind w:left="0" w:hanging="0"/>
        <w:rPr/>
      </w:pPr>
      <w:r>
        <w:rPr/>
        <w:t>Para fins de habilitação, deverá o licitante comprovar os seguintes requisitos:</w:t>
      </w:r>
    </w:p>
    <w:p>
      <w:pPr>
        <w:pStyle w:val="Normal"/>
        <w:ind w:left="0" w:hanging="0"/>
        <w:rPr/>
      </w:pPr>
      <w:r>
        <w:rPr/>
        <w:t>Habilitação jurídica</w:t>
      </w:r>
    </w:p>
    <w:p>
      <w:pPr>
        <w:pStyle w:val="Normal"/>
        <w:numPr>
          <w:ilvl w:val="1"/>
          <w:numId w:val="219"/>
        </w:numPr>
        <w:ind w:left="0" w:hanging="0"/>
        <w:rPr/>
      </w:pPr>
      <w:bookmarkStart w:id="2" w:name="_Ref115800561"/>
      <w:r>
        <w:rPr>
          <w:b/>
          <w:bCs/>
        </w:rPr>
        <w:t>Pessoa física:</w:t>
      </w:r>
      <w:r>
        <w:rPr/>
        <w:t xml:space="preserve"> cédula de identidade (RG) ou documento equivalente que, por força de lei, tenha validade para fins de identificação em todo o território nacional;</w:t>
      </w:r>
      <w:bookmarkEnd w:id="2"/>
    </w:p>
    <w:p>
      <w:pPr>
        <w:pStyle w:val="Normal"/>
        <w:numPr>
          <w:ilvl w:val="1"/>
          <w:numId w:val="220"/>
        </w:numPr>
        <w:ind w:left="0" w:hanging="0"/>
        <w:rPr/>
      </w:pPr>
      <w:r>
        <w:rPr>
          <w:b/>
          <w:bCs/>
        </w:rPr>
        <w:t>Empresário individual:</w:t>
      </w:r>
      <w:r>
        <w:rPr/>
        <w:t xml:space="preserve"> inscrição no Registro Público de Empresas Mercantis, a cargo da Junta Comercial da respectiva sede; </w:t>
      </w:r>
    </w:p>
    <w:p>
      <w:pPr>
        <w:pStyle w:val="Normal"/>
        <w:numPr>
          <w:ilvl w:val="1"/>
          <w:numId w:val="221"/>
        </w:numPr>
        <w:ind w:left="0" w:hanging="0"/>
        <w:rPr/>
      </w:pPr>
      <w:r>
        <w:rPr>
          <w:b/>
          <w:bCs/>
        </w:rPr>
        <w:t>Microempreendedor Individual - MEI:</w:t>
      </w:r>
      <w:r>
        <w:rPr/>
        <w:t xml:space="preserve"> Certificado da Condição de Microempreendedor Individual - CCMEI, cuja aceitação ficará condicionada à verificação da autenticidade no sítio </w:t>
      </w:r>
      <w:hyperlink r:id="rId7">
        <w:r>
          <w:rPr>
            <w:rStyle w:val="LinkdaInternet"/>
          </w:rPr>
          <w:t>https://www.gov.br/empresas-e-negocios/pt-br/empreendedor</w:t>
        </w:r>
      </w:hyperlink>
      <w:r>
        <w:rPr/>
        <w:t xml:space="preserve">; </w:t>
      </w:r>
    </w:p>
    <w:p>
      <w:pPr>
        <w:pStyle w:val="Normal"/>
        <w:numPr>
          <w:ilvl w:val="1"/>
          <w:numId w:val="222"/>
        </w:numPr>
        <w:ind w:left="0" w:hanging="0"/>
        <w:rPr/>
      </w:pPr>
      <w:r>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pPr>
        <w:pStyle w:val="Normal"/>
        <w:numPr>
          <w:ilvl w:val="1"/>
          <w:numId w:val="223"/>
        </w:numPr>
        <w:ind w:left="0" w:hanging="0"/>
        <w:rPr/>
      </w:pPr>
      <w:r>
        <w:rPr>
          <w:b/>
          <w:bCs/>
        </w:rPr>
        <w:t>Sociedade empresária estrangeira:</w:t>
      </w:r>
      <w:r>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8">
        <w:r>
          <w:rPr>
            <w:rStyle w:val="LinkdaInternet"/>
          </w:rPr>
          <w:t>Normativa DREI/ME n.º 77, de 18 de março de 2020</w:t>
        </w:r>
      </w:hyperlink>
      <w:r>
        <w:rPr/>
        <w:t>.</w:t>
      </w:r>
    </w:p>
    <w:p>
      <w:pPr>
        <w:pStyle w:val="Normal"/>
        <w:numPr>
          <w:ilvl w:val="1"/>
          <w:numId w:val="224"/>
        </w:numPr>
        <w:ind w:left="0" w:hanging="0"/>
        <w:rPr/>
      </w:pPr>
      <w:r>
        <w:rPr>
          <w:b/>
          <w:bCs/>
        </w:rPr>
        <w:t xml:space="preserve">Sociedade simples: </w:t>
      </w:r>
      <w:r>
        <w:rPr/>
        <w:t>inscrição do ato constitutivo no Registro Civil de Pessoas Jurídicas do local de sua sede, acompanhada de documento comprobatório de seus administradores;</w:t>
      </w:r>
    </w:p>
    <w:p>
      <w:pPr>
        <w:pStyle w:val="Normal"/>
        <w:numPr>
          <w:ilvl w:val="1"/>
          <w:numId w:val="225"/>
        </w:numPr>
        <w:ind w:left="0" w:hanging="0"/>
        <w:rPr/>
      </w:pPr>
      <w:r>
        <w:rPr>
          <w:b/>
          <w:bCs/>
        </w:rPr>
        <w:t>Filial, sucursal ou agência de sociedade simples ou empresária:</w:t>
      </w:r>
      <w:r>
        <w:rPr/>
        <w:t xml:space="preserve"> inscrição do ato constitutivo da filial, sucursal ou agência da sociedade simples ou empresária, respectivamente, no Registro Civil das Pessoas Jurídicas ou no Registro Público de Empresas </w:t>
      </w:r>
      <w:bookmarkStart w:id="3" w:name="_Int_ySfCXwr4"/>
      <w:r>
        <w:rPr/>
        <w:t>Mercantis onde</w:t>
      </w:r>
      <w:bookmarkEnd w:id="3"/>
      <w:r>
        <w:rPr/>
        <w:t xml:space="preserve"> opera, com averbação no Registro onde tem sede a matriz</w:t>
      </w:r>
    </w:p>
    <w:p>
      <w:pPr>
        <w:pStyle w:val="Normal"/>
        <w:numPr>
          <w:ilvl w:val="1"/>
          <w:numId w:val="226"/>
        </w:numPr>
        <w:ind w:left="0" w:hanging="0"/>
        <w:rPr/>
      </w:pPr>
      <w:r>
        <w:rPr>
          <w:b/>
          <w:bCs/>
        </w:rPr>
        <w:t>Sociedade cooperativa:</w:t>
      </w:r>
      <w:r>
        <w:rPr/>
        <w:t xml:space="preserve"> ata de fundação e estatuto social, com a ata da assembleia que o aprovou, devidamente arquivado na Junta Comercial ou inscrito no Registro Civil das Pessoas Jurídicas da respectiva sede, além do registro de que trata o </w:t>
      </w:r>
      <w:r>
        <w:fldChar w:fldCharType="begin"/>
      </w:r>
      <w:r>
        <w:rPr>
          <w:rStyle w:val="LinkdaInternet"/>
        </w:rPr>
        <w:instrText xml:space="preserve"> HYPERLINK "https://www.planalto.gov.br/ccivil_03/leis/l5764.htm" \l "art107"</w:instrText>
      </w:r>
      <w:r>
        <w:rPr>
          <w:rStyle w:val="LinkdaInternet"/>
        </w:rPr>
        <w:fldChar w:fldCharType="separate"/>
      </w:r>
      <w:r>
        <w:rPr>
          <w:rStyle w:val="LinkdaInternet"/>
        </w:rPr>
        <w:t>art. 107 da Lei nº 5.764, de 16 de dezembro 1971</w:t>
      </w:r>
      <w:r>
        <w:rPr>
          <w:rStyle w:val="LinkdaInternet"/>
        </w:rPr>
        <w:fldChar w:fldCharType="end"/>
      </w:r>
      <w:r>
        <w:rPr/>
        <w:t>.</w:t>
      </w:r>
    </w:p>
    <w:p>
      <w:pPr>
        <w:pStyle w:val="Normal"/>
        <w:numPr>
          <w:ilvl w:val="1"/>
          <w:numId w:val="227"/>
        </w:numPr>
        <w:ind w:left="0" w:hanging="0"/>
        <w:rPr/>
      </w:pPr>
      <w:r>
        <w:rPr>
          <w:b/>
          <w:bCs/>
        </w:rPr>
        <w:t>Agricultor familiar:</w:t>
      </w:r>
      <w:r>
        <w:rPr/>
        <w:t xml:space="preserve"> Declaração de Aptidão ao Pronaf – DAP ou DAP-P válida, ou, ainda, outros documentos definidos pela Secretaria Especial de Agricultura Familiar e do Desenvolvimento Agrário, nos termos do</w:t>
      </w:r>
      <w:r>
        <w:fldChar w:fldCharType="begin"/>
      </w:r>
      <w:r>
        <w:rPr>
          <w:rStyle w:val="LinkdaInternet"/>
        </w:rPr>
        <w:instrText xml:space="preserve"> HYPERLINK "https://www.planalto.gov.br/ccivil_03/_ato2019-2022/2021/decreto/d10880.htm" \l "art4§2"</w:instrText>
      </w:r>
      <w:r>
        <w:rPr>
          <w:rStyle w:val="LinkdaInternet"/>
        </w:rPr>
        <w:fldChar w:fldCharType="separate"/>
      </w:r>
      <w:r>
        <w:rPr>
          <w:rStyle w:val="LinkdaInternet"/>
        </w:rPr>
        <w:t xml:space="preserve"> art. 4º, §2º do Decreto nº 10.880, de 2 de dezembro de 2021</w:t>
      </w:r>
      <w:r>
        <w:rPr>
          <w:rStyle w:val="LinkdaInternet"/>
        </w:rPr>
        <w:fldChar w:fldCharType="end"/>
      </w:r>
      <w:r>
        <w:rPr/>
        <w:t>.</w:t>
      </w:r>
    </w:p>
    <w:p>
      <w:pPr>
        <w:pStyle w:val="Normal"/>
        <w:numPr>
          <w:ilvl w:val="1"/>
          <w:numId w:val="228"/>
        </w:numPr>
        <w:ind w:left="0" w:hanging="0"/>
        <w:rPr/>
      </w:pPr>
      <w:r>
        <w:rPr>
          <w:b/>
          <w:bCs/>
        </w:rPr>
        <w:t>Produtor Rural:</w:t>
      </w:r>
      <w:r>
        <w:rPr/>
        <w:t xml:space="preserve"> matrícula no Cadastro Específico do INSS – CEI, que comprove a qualificação como produtor rural pessoa física, nos termos da </w:t>
      </w:r>
      <w:hyperlink r:id="rId9">
        <w:r>
          <w:rPr>
            <w:rStyle w:val="LinkdaInternet"/>
          </w:rPr>
          <w:t>Instrução Normativa RFB n. 971, de 13 de novembro de 2009</w:t>
        </w:r>
      </w:hyperlink>
      <w:r>
        <w:rPr/>
        <w:t xml:space="preserve"> (arts. 17 a 19 e 165).</w:t>
      </w:r>
    </w:p>
    <w:p>
      <w:pPr>
        <w:pStyle w:val="Normal"/>
        <w:numPr>
          <w:ilvl w:val="1"/>
          <w:numId w:val="229"/>
        </w:numPr>
        <w:ind w:left="0" w:hanging="0"/>
        <w:rPr/>
      </w:pPr>
      <w:r>
        <w:rPr>
          <w:b/>
          <w:bCs/>
        </w:rPr>
        <w:t>Ato de autorização</w:t>
      </w:r>
      <w:r>
        <w:rPr/>
        <w:t xml:space="preserve"> para o exercício da atividade de venda e comércio varejista de equipamentos m</w:t>
      </w:r>
      <w:r>
        <w:rPr>
          <w:rFonts w:eastAsia="ＭＳ 明朝" w:cs="Times New Roman" w:eastAsiaTheme="minorEastAsia"/>
          <w:color w:val="auto"/>
          <w:kern w:val="0"/>
          <w:sz w:val="20"/>
          <w:szCs w:val="20"/>
          <w:lang w:val="pt-BR" w:eastAsia="en-US" w:bidi="ar-SA"/>
        </w:rPr>
        <w:t>édico hospitalar e ou odontológico.</w:t>
      </w:r>
    </w:p>
    <w:p>
      <w:pPr>
        <w:pStyle w:val="Normal"/>
        <w:numPr>
          <w:ilvl w:val="1"/>
          <w:numId w:val="230"/>
        </w:numPr>
        <w:ind w:left="0" w:hanging="0"/>
        <w:rPr/>
      </w:pPr>
      <w:r>
        <w:rPr/>
        <w:t>Os documentos apresentados deverão estar acompanhados de todas as alterações ou da consolidação respectiva.</w:t>
      </w:r>
    </w:p>
    <w:p>
      <w:pPr>
        <w:pStyle w:val="Normal"/>
        <w:ind w:left="0" w:hanging="0"/>
        <w:rPr/>
      </w:pPr>
      <w:r>
        <w:rPr/>
        <w:t>Habilitação fiscal, social e trabalhista</w:t>
      </w:r>
    </w:p>
    <w:p>
      <w:pPr>
        <w:pStyle w:val="Normal"/>
        <w:numPr>
          <w:ilvl w:val="1"/>
          <w:numId w:val="231"/>
        </w:numPr>
        <w:ind w:left="0" w:hanging="0"/>
        <w:rPr/>
      </w:pPr>
      <w:r>
        <w:rPr/>
        <w:t>Prova de inscrição no Cadastro Nacional de Pessoas Jurídicas ou no Cadastro de Pessoas Físicas, conforme o caso;</w:t>
      </w:r>
    </w:p>
    <w:p>
      <w:pPr>
        <w:pStyle w:val="Normal"/>
        <w:numPr>
          <w:ilvl w:val="1"/>
          <w:numId w:val="232"/>
        </w:numPr>
        <w:ind w:left="0" w:hanging="0"/>
        <w:rPr/>
      </w:pPr>
      <w: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pPr>
        <w:pStyle w:val="Normal"/>
        <w:numPr>
          <w:ilvl w:val="1"/>
          <w:numId w:val="233"/>
        </w:numPr>
        <w:ind w:left="0" w:hanging="0"/>
        <w:rPr/>
      </w:pPr>
      <w:r>
        <w:rPr/>
        <w:t>Prova de regularidade com o Fundo de Garantia do Tempo de Serviço (FGTS);</w:t>
      </w:r>
    </w:p>
    <w:p>
      <w:pPr>
        <w:pStyle w:val="Normal"/>
        <w:numPr>
          <w:ilvl w:val="1"/>
          <w:numId w:val="234"/>
        </w:numPr>
        <w:ind w:left="0" w:hanging="0"/>
        <w:rPr/>
      </w:pPr>
      <w:r>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pPr>
        <w:pStyle w:val="Normal"/>
        <w:numPr>
          <w:ilvl w:val="1"/>
          <w:numId w:val="235"/>
        </w:numPr>
        <w:ind w:left="0" w:hanging="0"/>
        <w:rPr/>
      </w:pPr>
      <w:r>
        <w:rPr/>
        <w:t xml:space="preserve">Prova de inscrição no cadastro de contribuintes </w:t>
      </w:r>
      <w:r>
        <w:rPr>
          <w:i/>
          <w:iCs/>
          <w:color w:val="FF0000"/>
        </w:rPr>
        <w:t>[Estadual/Distrital]</w:t>
      </w:r>
      <w:r>
        <w:rPr>
          <w:color w:val="FF0000"/>
        </w:rPr>
        <w:t xml:space="preserve"> ou </w:t>
      </w:r>
      <w:r>
        <w:rPr>
          <w:i/>
          <w:iCs/>
          <w:color w:val="FF0000"/>
        </w:rPr>
        <w:t>[Municipal/Distrital]</w:t>
      </w:r>
      <w:r>
        <w:rPr>
          <w:color w:val="FF0000"/>
        </w:rPr>
        <w:t xml:space="preserve"> </w:t>
      </w:r>
      <w:r>
        <w:rPr/>
        <w:t xml:space="preserve">relativo ao domicílio ou sede do fornecedor, pertinente ao seu ramo de atividade e compatível com o objeto contratual; </w:t>
      </w:r>
    </w:p>
    <w:p>
      <w:pPr>
        <w:pStyle w:val="Normal"/>
        <w:numPr>
          <w:ilvl w:val="1"/>
          <w:numId w:val="236"/>
        </w:numPr>
        <w:ind w:left="0" w:hanging="0"/>
        <w:rPr/>
      </w:pPr>
      <w:r>
        <w:rPr/>
        <w:t xml:space="preserve">Prova de regularidade com a Fazenda </w:t>
      </w:r>
      <w:r>
        <w:rPr>
          <w:i/>
          <w:iCs/>
          <w:color w:val="FF0000"/>
        </w:rPr>
        <w:t>[Estadual/Distrital] ou [Municipal/Distrital]</w:t>
      </w:r>
      <w:r>
        <w:rPr>
          <w:color w:val="FF0000"/>
        </w:rPr>
        <w:t xml:space="preserve"> </w:t>
      </w:r>
      <w:r>
        <w:rPr/>
        <w:t>do domicílio ou sede do fornecedor, relativa à atividade em cujo exercício contrata ou concorre;</w:t>
      </w:r>
    </w:p>
    <w:p>
      <w:pPr>
        <w:pStyle w:val="Normal"/>
        <w:numPr>
          <w:ilvl w:val="1"/>
          <w:numId w:val="237"/>
        </w:numPr>
        <w:ind w:left="0" w:hanging="0"/>
        <w:rPr/>
      </w:pPr>
      <w:r>
        <w:rPr/>
        <w:t xml:space="preserve">Caso o fornecedor seja considerado isento dos tributos </w:t>
      </w:r>
      <w:r>
        <w:rPr>
          <w:i/>
          <w:iCs/>
          <w:color w:val="FF0000"/>
        </w:rPr>
        <w:t>[Estadual/Distrital] ou [Municipal/Distrital]</w:t>
      </w:r>
      <w:r>
        <w:rPr>
          <w:color w:val="FF0000"/>
        </w:rPr>
        <w:t xml:space="preserve"> </w:t>
      </w:r>
      <w:r>
        <w:rPr/>
        <w:t>relacionados ao objeto contratual, deverá comprovar tal condição mediante a apresentação de declaração da Fazenda respectiva do seu domicílio ou sede, ou outra equivalente, na forma da lei.</w:t>
      </w:r>
    </w:p>
    <w:p>
      <w:pPr>
        <w:pStyle w:val="Normal"/>
        <w:numPr>
          <w:ilvl w:val="1"/>
          <w:numId w:val="238"/>
        </w:numPr>
        <w:ind w:left="0" w:hanging="0"/>
        <w:rPr/>
      </w:pPr>
      <w:r>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pPr>
        <w:pStyle w:val="Normal"/>
        <w:ind w:left="0" w:hanging="0"/>
        <w:rPr/>
      </w:pPr>
      <w:r>
        <w:rPr/>
        <w:t>Qualificação Econômico-Financeira</w:t>
      </w:r>
    </w:p>
    <w:p>
      <w:pPr>
        <w:pStyle w:val="Normal"/>
        <w:numPr>
          <w:ilvl w:val="1"/>
          <w:numId w:val="239"/>
        </w:numPr>
        <w:ind w:left="0" w:hanging="0"/>
        <w:rPr/>
      </w:pPr>
      <w:r>
        <w:rPr/>
        <w:t>Certidão negativa de insolvência civil expedida pelo distribuidor do domicílio ou sede do licitante, caso se trate de pessoa física, desde que admitida a sua participação na licitação (</w:t>
      </w:r>
      <w:r>
        <w:fldChar w:fldCharType="begin"/>
      </w:r>
      <w:r>
        <w:rPr>
          <w:rStyle w:val="LinkdaInternet"/>
        </w:rPr>
        <w:instrText xml:space="preserve"> HYPERLINK "https://www.gov.br/compras/pt-br/acesso-a-informacao/legislacao/instrucoes-normativas/instrucao-normativa-seges-me-no-116-de-21-de-dezembro-de-2021" \l "art5"</w:instrText>
      </w:r>
      <w:r>
        <w:rPr>
          <w:rStyle w:val="LinkdaInternet"/>
        </w:rPr>
        <w:fldChar w:fldCharType="separate"/>
      </w:r>
      <w:r>
        <w:rPr>
          <w:rStyle w:val="LinkdaInternet"/>
        </w:rPr>
        <w:t>art. 5º, inciso II, alínea “c”, da Instrução Normativa Seges/ME nº 116, de 2021</w:t>
      </w:r>
      <w:r>
        <w:rPr>
          <w:rStyle w:val="LinkdaInternet"/>
        </w:rPr>
        <w:fldChar w:fldCharType="end"/>
      </w:r>
      <w:r>
        <w:rPr/>
        <w:t xml:space="preserve">), ou de sociedade simples; </w:t>
      </w:r>
    </w:p>
    <w:p>
      <w:pPr>
        <w:pStyle w:val="Normal"/>
        <w:numPr>
          <w:ilvl w:val="1"/>
          <w:numId w:val="240"/>
        </w:numPr>
        <w:ind w:left="0" w:hanging="0"/>
        <w:rPr/>
      </w:pPr>
      <w:r>
        <w:rPr/>
        <w:t xml:space="preserve">Certidão negativa de falência expedida pelo distribuidor da sede do fornecedor - </w:t>
      </w:r>
      <w:r>
        <w:fldChar w:fldCharType="begin"/>
      </w:r>
      <w:r>
        <w:rPr>
          <w:rStyle w:val="LinkdaInternet"/>
        </w:rPr>
        <w:instrText xml:space="preserve"> HYPERLINK "http://www.planalto.gov.br/ccivil_03/_ato2019-2022/2021/lei/L14133.htm" \l "art69"</w:instrText>
      </w:r>
      <w:r>
        <w:rPr>
          <w:rStyle w:val="LinkdaInternet"/>
        </w:rPr>
        <w:fldChar w:fldCharType="separate"/>
      </w:r>
      <w:r>
        <w:rPr>
          <w:rStyle w:val="LinkdaInternet"/>
        </w:rPr>
        <w:t>Lei nº 14.133, de 2021, art. 69, caput, inciso II</w:t>
      </w:r>
      <w:r>
        <w:rPr>
          <w:rStyle w:val="LinkdaInternet"/>
        </w:rPr>
        <w:fldChar w:fldCharType="end"/>
      </w:r>
      <w:r>
        <w:rPr/>
        <w:t>);</w:t>
      </w:r>
    </w:p>
    <w:p>
      <w:pPr>
        <w:pStyle w:val="Normal"/>
        <w:numPr>
          <w:ilvl w:val="1"/>
          <w:numId w:val="241"/>
        </w:numPr>
        <w:ind w:left="0" w:hanging="0"/>
        <w:rPr/>
      </w:pPr>
      <w:r>
        <w:rPr/>
        <w:t>Balanço patrimonial, demonstração de resultado de exercício e demais demonstrações contábeis dos 2 (dois) últimos exercícios sociais, comprovando;</w:t>
      </w:r>
    </w:p>
    <w:p>
      <w:pPr>
        <w:pStyle w:val="Normal"/>
        <w:numPr>
          <w:ilvl w:val="2"/>
          <w:numId w:val="242"/>
        </w:numPr>
        <w:ind w:left="284" w:hanging="0"/>
        <w:rPr/>
      </w:pPr>
      <w:r>
        <w:rPr/>
        <w:t>índices de Liquidez Geral (LG), Liquidez Corrente (LC), e Solvência Geral (SG) superiores a 1 (um);</w:t>
      </w:r>
    </w:p>
    <w:p>
      <w:pPr>
        <w:pStyle w:val="Normal"/>
        <w:numPr>
          <w:ilvl w:val="2"/>
          <w:numId w:val="243"/>
        </w:numPr>
        <w:ind w:left="284" w:hanging="0"/>
        <w:rPr/>
      </w:pPr>
      <w:r>
        <w:rPr/>
        <w:t>As empresas criadas no exercício financeiro da licitação deverão atender a todas as exigências da habilitação e poderão substituir os demonstrativos contábeis pelo balanço de abertura.</w:t>
      </w:r>
    </w:p>
    <w:p>
      <w:pPr>
        <w:pStyle w:val="Normal"/>
        <w:numPr>
          <w:ilvl w:val="2"/>
          <w:numId w:val="244"/>
        </w:numPr>
        <w:ind w:left="284" w:hanging="0"/>
        <w:rPr/>
      </w:pPr>
      <w:r>
        <w:rPr/>
        <w:t>Os documentos referidos acima limitar-se-ão ao último exercício no caso de a pessoa jurídica ter sido constituída há menos de 2 (dois) anos;</w:t>
      </w:r>
    </w:p>
    <w:p>
      <w:pPr>
        <w:pStyle w:val="Normal"/>
        <w:numPr>
          <w:ilvl w:val="2"/>
          <w:numId w:val="245"/>
        </w:numPr>
        <w:ind w:left="284" w:hanging="0"/>
        <w:rPr/>
      </w:pPr>
      <w:r>
        <w:rPr/>
        <w:t>Os documentos referidos acima deverão ser exigidos com base no limite definido pela Receita Federal do Brasil para transmissão da Escrituração Contábil Digital - ECD ao Sped.</w:t>
      </w:r>
    </w:p>
    <w:p>
      <w:pPr>
        <w:pStyle w:val="Normal"/>
        <w:numPr>
          <w:ilvl w:val="1"/>
          <w:numId w:val="246"/>
        </w:numPr>
        <w:ind w:left="0" w:hanging="0"/>
        <w:rPr/>
      </w:pPr>
      <w:r>
        <w:rPr/>
        <w:t xml:space="preserve">Caso a empresa licitante apresente resultado inferior ou igual a 1 (um) em qualquer dos índices de Liquidez Geral (LG), Solvência Geral (SG) e Liquidez Corrente (LC), será exigido para fins de habilitação </w:t>
      </w:r>
      <w:r>
        <w:rPr>
          <w:color w:val="auto"/>
        </w:rPr>
        <w:t xml:space="preserve">[capital mínimo] </w:t>
      </w:r>
      <w:r>
        <w:rPr>
          <w:color w:val="auto"/>
          <w:u w:val="single"/>
        </w:rPr>
        <w:t>OU</w:t>
      </w:r>
      <w:r>
        <w:rPr>
          <w:color w:val="auto"/>
        </w:rPr>
        <w:t xml:space="preserve"> [patrimônio líquido mínimo] de </w:t>
      </w:r>
      <w:r>
        <w:rPr>
          <w:b/>
          <w:bCs/>
          <w:color w:val="auto"/>
        </w:rPr>
        <w:t>5</w:t>
      </w:r>
      <w:r>
        <w:rPr>
          <w:color w:val="auto"/>
        </w:rPr>
        <w:t>%  do valor total estimado da parcela pertinente].</w:t>
      </w:r>
    </w:p>
    <w:p>
      <w:pPr>
        <w:pStyle w:val="Normal"/>
        <w:numPr>
          <w:ilvl w:val="1"/>
          <w:numId w:val="247"/>
        </w:numPr>
        <w:ind w:left="0" w:hanging="0"/>
        <w:rPr/>
      </w:pPr>
      <w:r>
        <w:rPr/>
        <w:t>As empresas criadas no exercício financeiro da licitação deverão atender a todas as exigências da habilitação e poderão substituir os demonstrativos contábeis pelo balanço de abertura. (Lei nº 14.133, de 2021, art. 65, §1º).</w:t>
      </w:r>
    </w:p>
    <w:p>
      <w:pPr>
        <w:pStyle w:val="Normal"/>
        <w:numPr>
          <w:ilvl w:val="1"/>
          <w:numId w:val="248"/>
        </w:numPr>
        <w:ind w:left="0" w:hanging="0"/>
        <w:rPr/>
      </w:pPr>
      <w:r>
        <w:rPr/>
        <w:t>O atendimento dos índices econômicos previstos neste item deverá ser atestado mediante declaração assinada por profissional habilitado da área contábil, apresentada pelo fornecedor.</w:t>
      </w:r>
    </w:p>
    <w:p>
      <w:pPr>
        <w:pStyle w:val="Normal"/>
        <w:ind w:left="0" w:hanging="0"/>
        <w:rPr/>
      </w:pPr>
      <w:r>
        <w:rPr/>
        <w:t>Qualificação Técnica</w:t>
      </w:r>
    </w:p>
    <w:p>
      <w:pPr>
        <w:pStyle w:val="Normal"/>
        <w:numPr>
          <w:ilvl w:val="0"/>
          <w:numId w:val="0"/>
        </w:numPr>
        <w:ind w:left="0" w:hanging="0"/>
        <w:rPr>
          <w:strike/>
        </w:rPr>
      </w:pPr>
      <w:r>
        <w:rPr>
          <w:strike/>
        </w:rPr>
      </w:r>
    </w:p>
    <w:p>
      <w:pPr>
        <w:pStyle w:val="Normal"/>
        <w:numPr>
          <w:ilvl w:val="1"/>
          <w:numId w:val="249"/>
        </w:numPr>
        <w:ind w:left="0" w:hanging="0"/>
        <w:rPr/>
      </w:pPr>
      <w:r>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pPr>
        <w:pStyle w:val="Normal"/>
        <w:numPr>
          <w:ilvl w:val="2"/>
          <w:numId w:val="250"/>
        </w:numPr>
        <w:ind w:left="284" w:hanging="0"/>
        <w:rPr/>
      </w:pPr>
      <w:r>
        <w:rPr/>
        <w:t xml:space="preserve">Para fins da comprovação de que trata este subitem, os atestados deverão dizer respeito a contratos executados com as seguintes características mínimas: </w:t>
      </w:r>
    </w:p>
    <w:p>
      <w:pPr>
        <w:pStyle w:val="Normal"/>
        <w:numPr>
          <w:ilvl w:val="3"/>
          <w:numId w:val="251"/>
        </w:numPr>
        <w:ind w:left="567" w:hanging="0"/>
        <w:rPr/>
      </w:pPr>
      <w:r>
        <w:rPr/>
        <w:t>..</w:t>
      </w:r>
      <w:r>
        <w:rPr>
          <w:b/>
          <w:bCs/>
          <w:color w:val="auto"/>
        </w:rPr>
        <w:t>com fornecimento de equipamentos m</w:t>
      </w:r>
      <w:r>
        <w:rPr>
          <w:rFonts w:eastAsia="ＭＳ 明朝" w:cs="Times New Roman"/>
          <w:b/>
          <w:bCs/>
          <w:color w:val="auto"/>
          <w:kern w:val="0"/>
          <w:sz w:val="20"/>
          <w:szCs w:val="20"/>
          <w:lang w:val="pt-BR" w:eastAsia="en-US" w:bidi="ar-SA"/>
        </w:rPr>
        <w:t>édico-hospitalar e ou odontológico.</w:t>
      </w:r>
    </w:p>
    <w:p>
      <w:pPr>
        <w:pStyle w:val="Normal"/>
        <w:numPr>
          <w:ilvl w:val="0"/>
          <w:numId w:val="0"/>
        </w:numPr>
        <w:ind w:left="0" w:hanging="0"/>
        <w:rPr>
          <w:b/>
          <w:b/>
          <w:bCs/>
          <w:color w:val="auto"/>
        </w:rPr>
      </w:pPr>
      <w:r>
        <w:rPr>
          <w:b/>
          <w:bCs/>
          <w:color w:val="auto"/>
        </w:rPr>
      </w:r>
    </w:p>
    <w:p>
      <w:pPr>
        <w:pStyle w:val="Normal"/>
        <w:numPr>
          <w:ilvl w:val="2"/>
          <w:numId w:val="252"/>
        </w:numPr>
        <w:ind w:left="284" w:hanging="0"/>
        <w:rPr/>
      </w:pPr>
      <w:r>
        <w:rPr/>
        <w:t>Será admitida, para fins de comprovação de quantitativo mínimo, a apresentação e o somatório de diferentes atestados executados de forma concomitante.</w:t>
      </w:r>
    </w:p>
    <w:p>
      <w:pPr>
        <w:pStyle w:val="Normal"/>
        <w:numPr>
          <w:ilvl w:val="2"/>
          <w:numId w:val="253"/>
        </w:numPr>
        <w:ind w:left="284" w:hanging="0"/>
        <w:rPr>
          <w:shd w:fill="FFFF00" w:val="clear"/>
        </w:rPr>
      </w:pPr>
      <w:r>
        <w:rPr/>
        <w:t>Os atestados de capacidade técnica poderão ser apresentados em nome da matriz ou da filial do fornecedor.</w:t>
      </w:r>
    </w:p>
    <w:p>
      <w:pPr>
        <w:pStyle w:val="Normal"/>
        <w:numPr>
          <w:ilvl w:val="2"/>
          <w:numId w:val="254"/>
        </w:numPr>
        <w:ind w:left="284" w:hanging="0"/>
        <w:rPr/>
      </w:pPr>
      <w:r>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pPr>
        <w:pStyle w:val="Normal"/>
        <w:numPr>
          <w:ilvl w:val="0"/>
          <w:numId w:val="0"/>
        </w:numPr>
        <w:ind w:left="284" w:hanging="0"/>
        <w:rPr>
          <w:rFonts w:eastAsia="ＭＳ 明朝" w:cs="Arial"/>
          <w:b/>
          <w:b/>
          <w:bCs/>
          <w:i/>
          <w:i/>
          <w:iCs/>
          <w:color w:val="auto"/>
          <w:kern w:val="0"/>
          <w:sz w:val="24"/>
          <w:szCs w:val="24"/>
          <w:lang w:val="pt-PT" w:eastAsia="pt-BR" w:bidi="ar-SA"/>
        </w:rPr>
      </w:pPr>
      <w:r>
        <w:rPr>
          <w:rFonts w:eastAsia="ＭＳ 明朝" w:cs="Arial"/>
          <w:b/>
          <w:bCs/>
          <w:i/>
          <w:iCs/>
          <w:color w:val="auto"/>
          <w:kern w:val="0"/>
          <w:sz w:val="24"/>
          <w:szCs w:val="24"/>
          <w:lang w:val="pt-PT" w:eastAsia="pt-BR" w:bidi="ar-SA"/>
        </w:rPr>
      </w:r>
    </w:p>
    <w:p>
      <w:pPr>
        <w:pStyle w:val="Normal"/>
        <w:numPr>
          <w:ilvl w:val="1"/>
          <w:numId w:val="255"/>
        </w:numPr>
        <w:ind w:left="0" w:hanging="0"/>
        <w:rPr/>
      </w:pPr>
      <w:r>
        <w:rPr/>
        <w:t>Caso admitida a participação de cooperativas, será exigida a seguinte documentação complementar:</w:t>
      </w:r>
    </w:p>
    <w:p>
      <w:pPr>
        <w:pStyle w:val="Normal"/>
        <w:numPr>
          <w:ilvl w:val="2"/>
          <w:numId w:val="256"/>
        </w:numPr>
        <w:ind w:left="284" w:hanging="0"/>
        <w:rPr/>
      </w:pPr>
      <w:r>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r>
        <w:fldChar w:fldCharType="begin"/>
      </w:r>
      <w:r>
        <w:rPr>
          <w:rStyle w:val="LinkdaInternet"/>
        </w:rPr>
        <w:instrText xml:space="preserve"> HYPERLINK "https://www.planalto.gov.br/ccivil_03/leis/l5764.htm" \l "art4"</w:instrText>
      </w:r>
      <w:r>
        <w:rPr>
          <w:rStyle w:val="LinkdaInternet"/>
        </w:rPr>
        <w:fldChar w:fldCharType="separate"/>
      </w:r>
      <w:r>
        <w:rPr>
          <w:rStyle w:val="LinkdaInternet"/>
        </w:rPr>
        <w:t>arts. 4º, inciso XI, 21, inciso I</w:t>
      </w:r>
      <w:r>
        <w:rPr>
          <w:rStyle w:val="LinkdaInternet"/>
        </w:rPr>
        <w:fldChar w:fldCharType="end"/>
      </w:r>
      <w:r>
        <w:rPr/>
        <w:t xml:space="preserve"> e </w:t>
      </w:r>
      <w:r>
        <w:fldChar w:fldCharType="begin"/>
      </w:r>
      <w:r>
        <w:rPr>
          <w:rStyle w:val="LinkdaInternet"/>
        </w:rPr>
        <w:instrText xml:space="preserve"> HYPERLINK "https://www.planalto.gov.br/ccivil_03/leis/l5764.htm" \l "art42"</w:instrText>
      </w:r>
      <w:r>
        <w:rPr>
          <w:rStyle w:val="LinkdaInternet"/>
        </w:rPr>
        <w:fldChar w:fldCharType="separate"/>
      </w:r>
      <w:r>
        <w:rPr>
          <w:rStyle w:val="LinkdaInternet"/>
        </w:rPr>
        <w:t>42, §§2º a 6º da Lei n. 5.764, de 1971</w:t>
      </w:r>
      <w:r>
        <w:rPr>
          <w:rStyle w:val="LinkdaInternet"/>
        </w:rPr>
        <w:fldChar w:fldCharType="end"/>
      </w:r>
      <w:r>
        <w:rPr/>
        <w:t>;</w:t>
      </w:r>
    </w:p>
    <w:p>
      <w:pPr>
        <w:pStyle w:val="Normal"/>
        <w:numPr>
          <w:ilvl w:val="2"/>
          <w:numId w:val="257"/>
        </w:numPr>
        <w:ind w:left="284" w:hanging="0"/>
        <w:rPr/>
      </w:pPr>
      <w:r>
        <w:rPr/>
        <w:t>A declaração de regularidade de situação do contribuinte individual – DRSCI, para cada um dos cooperados indicados;</w:t>
      </w:r>
    </w:p>
    <w:p>
      <w:pPr>
        <w:pStyle w:val="Normal"/>
        <w:numPr>
          <w:ilvl w:val="2"/>
          <w:numId w:val="258"/>
        </w:numPr>
        <w:ind w:left="284" w:hanging="0"/>
        <w:rPr/>
      </w:pPr>
      <w:r>
        <w:rPr/>
        <w:t xml:space="preserve">A comprovação do capital social proporcional ao número de cooperados necessários à execução contratual; </w:t>
      </w:r>
    </w:p>
    <w:p>
      <w:pPr>
        <w:pStyle w:val="Normal"/>
        <w:numPr>
          <w:ilvl w:val="2"/>
          <w:numId w:val="259"/>
        </w:numPr>
        <w:ind w:left="284" w:hanging="0"/>
        <w:rPr/>
      </w:pPr>
      <w:r>
        <w:rPr/>
        <w:t xml:space="preserve">O registro previsto na </w:t>
      </w:r>
      <w:r>
        <w:fldChar w:fldCharType="begin"/>
      </w:r>
      <w:r>
        <w:rPr>
          <w:rStyle w:val="LinkdaInternet"/>
        </w:rPr>
        <w:instrText xml:space="preserve"> HYPERLINK "https://www.planalto.gov.br/ccivil_03/leis/l5764.htm" \l "art107"</w:instrText>
      </w:r>
      <w:r>
        <w:rPr>
          <w:rStyle w:val="LinkdaInternet"/>
        </w:rPr>
        <w:fldChar w:fldCharType="separate"/>
      </w:r>
      <w:r>
        <w:rPr>
          <w:rStyle w:val="LinkdaInternet"/>
        </w:rPr>
        <w:t>Lei n. 5.764, de 1971, art. 107</w:t>
      </w:r>
      <w:r>
        <w:rPr>
          <w:rStyle w:val="LinkdaInternet"/>
        </w:rPr>
        <w:fldChar w:fldCharType="end"/>
      </w:r>
      <w:r>
        <w:rPr/>
        <w:t>;</w:t>
      </w:r>
    </w:p>
    <w:p>
      <w:pPr>
        <w:pStyle w:val="Normal"/>
        <w:numPr>
          <w:ilvl w:val="2"/>
          <w:numId w:val="260"/>
        </w:numPr>
        <w:ind w:left="284" w:hanging="0"/>
        <w:rPr/>
      </w:pPr>
      <w:r>
        <w:rPr/>
        <w:t xml:space="preserve"> </w:t>
      </w:r>
      <w:r>
        <w:rPr/>
        <w:t>A comprovação de integração das respectivas quotas-partes por parte dos cooperados que executarão o contrato; e</w:t>
      </w:r>
    </w:p>
    <w:p>
      <w:pPr>
        <w:pStyle w:val="Normal"/>
        <w:numPr>
          <w:ilvl w:val="2"/>
          <w:numId w:val="261"/>
        </w:numPr>
        <w:ind w:left="284" w:hanging="0"/>
        <w:rPr/>
      </w:pPr>
      <w:r>
        <w:rPr/>
        <w:t xml:space="preserve"> </w:t>
      </w:r>
      <w:r>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pPr>
        <w:pStyle w:val="Normal"/>
        <w:numPr>
          <w:ilvl w:val="2"/>
          <w:numId w:val="262"/>
        </w:numPr>
        <w:ind w:left="284" w:hanging="0"/>
        <w:rPr/>
      </w:pPr>
      <w:r>
        <w:rPr/>
        <w:t xml:space="preserve">A última auditoria contábil-financeira da cooperativa, conforme dispõe o </w:t>
      </w:r>
      <w:r>
        <w:fldChar w:fldCharType="begin"/>
      </w:r>
      <w:r>
        <w:rPr>
          <w:rStyle w:val="LinkdaInternet"/>
        </w:rPr>
        <w:instrText xml:space="preserve"> HYPERLINK "https://www.planalto.gov.br/ccivil_03/leis/l5764.htm" \l "art112"</w:instrText>
      </w:r>
      <w:r>
        <w:rPr>
          <w:rStyle w:val="LinkdaInternet"/>
        </w:rPr>
        <w:fldChar w:fldCharType="separate"/>
      </w:r>
      <w:r>
        <w:rPr>
          <w:rStyle w:val="LinkdaInternet"/>
        </w:rPr>
        <w:t>art. 112 da Lei n. 5.764, de 1971</w:t>
      </w:r>
      <w:r>
        <w:rPr>
          <w:rStyle w:val="LinkdaInternet"/>
        </w:rPr>
        <w:fldChar w:fldCharType="end"/>
      </w:r>
      <w:r>
        <w:rPr/>
        <w:t>, ou uma declaração, sob as penas da lei, de que tal auditoria não foi exigida pelo órgão fiscalizador.</w:t>
      </w:r>
    </w:p>
    <w:p>
      <w:pPr>
        <w:pStyle w:val="Normal"/>
        <w:numPr>
          <w:ilvl w:val="0"/>
          <w:numId w:val="2"/>
        </w:numPr>
        <w:ind w:left="0" w:hanging="0"/>
        <w:rPr/>
      </w:pPr>
      <w:r>
        <w:rPr/>
        <w:t>ESTIMATIVAS DO VALOR DA CONTRATAÇÃO</w:t>
      </w:r>
    </w:p>
    <w:p>
      <w:pPr>
        <w:pStyle w:val="Normal"/>
        <w:numPr>
          <w:ilvl w:val="1"/>
          <w:numId w:val="263"/>
        </w:numPr>
        <w:ind w:left="0" w:hanging="0"/>
        <w:rPr>
          <w:b/>
          <w:b/>
          <w:bCs/>
        </w:rPr>
      </w:pPr>
      <w:r>
        <w:rPr/>
        <w:t xml:space="preserve">O custo estimado total da contratação é de R$ 37.981,12 (Trinta e sete mil, novecentos e oitenta e um reais e doze centavos), conforme custos unitários apostos na tabela acima. </w:t>
      </w:r>
    </w:p>
    <w:p>
      <w:pPr>
        <w:pStyle w:val="Normal"/>
        <w:numPr>
          <w:ilvl w:val="1"/>
          <w:numId w:val="264"/>
        </w:numPr>
        <w:ind w:left="0" w:hanging="0"/>
        <w:rPr/>
      </w:pPr>
      <w:r>
        <w:rPr/>
        <w:t>A estimativa de custo levou em consideração o risco envolvido na contratação e sua alocação entre contratante e contratado, conforme especificado na matriz de risco constante do Contrato.</w:t>
      </w:r>
    </w:p>
    <w:p>
      <w:pPr>
        <w:pStyle w:val="Normal"/>
        <w:numPr>
          <w:ilvl w:val="1"/>
          <w:numId w:val="265"/>
        </w:numPr>
        <w:ind w:left="0" w:hanging="0"/>
        <w:rPr/>
      </w:pPr>
      <w:r>
        <w:rPr>
          <w:rFonts w:eastAsia="MS Mincho"/>
        </w:rPr>
        <w:t xml:space="preserve">Em caso de licitação para Registro de Preços, os preços </w:t>
      </w:r>
      <w:r>
        <w:rPr/>
        <w:t>registrados poderão ser alterados ou atualizados em decorrência de eventual redução dos preços praticados no mercado ou de fato que eleve o custo dos bens, das obras ou dos serviços registrados, nas seguintes situações (art. 25 do Decreto nº 11.462/2023):</w:t>
      </w:r>
    </w:p>
    <w:p>
      <w:pPr>
        <w:pStyle w:val="Normal"/>
        <w:numPr>
          <w:ilvl w:val="2"/>
          <w:numId w:val="266"/>
        </w:numPr>
        <w:ind w:left="284" w:hanging="0"/>
        <w:rPr>
          <w:rStyle w:val="LinkdaInternet"/>
          <w:rFonts w:ascii="Ecofont_Spranq_eco_Sans" w:hAnsi="Ecofont_Spranq_eco_Sans" w:eastAsia="MS Mincho" w:cs="Tahoma"/>
          <w:i w:val="false"/>
          <w:i w:val="false"/>
          <w:iCs w:val="false"/>
          <w:color w:val="FF0000"/>
          <w:sz w:val="24"/>
          <w:szCs w:val="24"/>
          <w:u w:val="none"/>
        </w:rPr>
      </w:pPr>
      <w:r>
        <w:rPr/>
        <w:t xml:space="preserve">em caso de força maior, caso fortuito ou fato do príncipe ou em decorrência de fatos imprevisíveis ou previsíveis de consequências incalculáveis, que inviabilizem a execução da ata tal como pactuada, nos termos do disposto na </w:t>
      </w:r>
      <w:r>
        <w:rPr>
          <w:color w:val="auto"/>
        </w:rPr>
        <w:t>a</w:t>
      </w:r>
      <w:r>
        <w:fldChar w:fldCharType="begin"/>
      </w:r>
      <w:r>
        <w:rPr>
          <w:rStyle w:val="LinkdaInternet"/>
          <w:rFonts w:eastAsia="Arial"/>
          <w:color w:val="auto"/>
        </w:rPr>
        <w:instrText xml:space="preserve"> HYPERLINK "http://www.planalto.gov.br/ccivil_03/_Ato2019-2022/2021/Lei/L14133.htm" \l "art124iid"</w:instrText>
      </w:r>
      <w:r>
        <w:rPr>
          <w:rStyle w:val="LinkdaInternet"/>
          <w:rFonts w:eastAsia="Arial"/>
          <w:color w:val="auto"/>
        </w:rPr>
        <w:fldChar w:fldCharType="separate"/>
      </w:r>
      <w:r>
        <w:rPr>
          <w:rStyle w:val="LinkdaInternet"/>
          <w:rFonts w:eastAsia="Arial"/>
          <w:color w:val="auto"/>
        </w:rPr>
        <w:t>línea “d” do inciso II do capu</w:t>
      </w:r>
      <w:r>
        <w:rPr>
          <w:rStyle w:val="LinkdaInternet"/>
          <w:rFonts w:eastAsia="Arial"/>
          <w:color w:val="auto"/>
        </w:rPr>
        <w:fldChar w:fldCharType="end"/>
      </w:r>
      <w:r>
        <w:rPr>
          <w:rStyle w:val="LinkdaInternet"/>
          <w:rFonts w:eastAsia="Arial"/>
          <w:b/>
          <w:bCs/>
          <w:color w:val="auto"/>
        </w:rPr>
        <w:t>t</w:t>
      </w:r>
      <w:r>
        <w:rPr>
          <w:rStyle w:val="LinkdaInternet"/>
          <w:rFonts w:eastAsia="Arial"/>
          <w:color w:val="auto"/>
        </w:rPr>
        <w:t xml:space="preserve"> do art. 124 da Lei nº 14.133, de 2021;</w:t>
      </w:r>
    </w:p>
    <w:p>
      <w:pPr>
        <w:pStyle w:val="Normal"/>
        <w:numPr>
          <w:ilvl w:val="2"/>
          <w:numId w:val="267"/>
        </w:numPr>
        <w:ind w:left="284" w:hanging="0"/>
        <w:rPr>
          <w:rFonts w:ascii="Ecofont_Spranq_eco_Sans" w:hAnsi="Ecofont_Spranq_eco_Sans" w:eastAsia="MS Mincho" w:cs="Tahoma"/>
          <w:sz w:val="24"/>
          <w:szCs w:val="24"/>
        </w:rPr>
      </w:pPr>
      <w:r>
        <w:rPr/>
        <w:t>em caso de criação, alteração ou extinção de quaisquer tributos ou encargos legais ou superveniência de disposições legais, com comprovada repercussão sobre os preços registrados;</w:t>
      </w:r>
    </w:p>
    <w:p>
      <w:pPr>
        <w:pStyle w:val="Normal"/>
        <w:numPr>
          <w:ilvl w:val="2"/>
          <w:numId w:val="268"/>
        </w:numPr>
        <w:ind w:left="284" w:hanging="0"/>
        <w:rPr>
          <w:rFonts w:ascii="Ecofont_Spranq_eco_Sans" w:hAnsi="Ecofont_Spranq_eco_Sans" w:eastAsia="MS Mincho" w:cs="Tahoma"/>
          <w:sz w:val="24"/>
          <w:szCs w:val="24"/>
        </w:rPr>
      </w:pPr>
      <w:r>
        <w:rPr/>
        <w:t>serão reajustados os preços registrados, respeitada a contagem da anualidade e o índice previsto para a contratação; ou</w:t>
      </w:r>
    </w:p>
    <w:p>
      <w:pPr>
        <w:pStyle w:val="Normal"/>
        <w:numPr>
          <w:ilvl w:val="2"/>
          <w:numId w:val="269"/>
        </w:numPr>
        <w:ind w:left="284" w:hanging="0"/>
        <w:rPr>
          <w:rFonts w:ascii="Ecofont_Spranq_eco_Sans" w:hAnsi="Ecofont_Spranq_eco_Sans" w:eastAsia="MS Mincho" w:cs="Tahoma"/>
          <w:sz w:val="24"/>
          <w:szCs w:val="24"/>
        </w:rPr>
      </w:pPr>
      <w:r>
        <w:rPr/>
        <w:t>poderão ser repactuados, a pedido do interessado, conforme critérios definidos para a contratação.</w:t>
      </w:r>
    </w:p>
    <w:p>
      <w:pPr>
        <w:pStyle w:val="Normal"/>
        <w:numPr>
          <w:ilvl w:val="0"/>
          <w:numId w:val="2"/>
        </w:numPr>
        <w:ind w:left="0" w:hanging="0"/>
        <w:rPr/>
      </w:pPr>
      <w:r>
        <w:rPr/>
        <w:t>ADEQUAÇÃO ORÇAMENTÁRIA</w:t>
      </w:r>
    </w:p>
    <w:p>
      <w:pPr>
        <w:pStyle w:val="Normal"/>
        <w:numPr>
          <w:ilvl w:val="1"/>
          <w:numId w:val="270"/>
        </w:numPr>
        <w:ind w:left="0" w:hanging="0"/>
        <w:rPr/>
      </w:pPr>
      <w:r>
        <w:rPr/>
        <w:t>As despesas decorrentes da presente contratação correrão à conta de recursos específicos consignados no Orçamento Geral da União.</w:t>
      </w:r>
    </w:p>
    <w:p>
      <w:pPr>
        <w:pStyle w:val="Normal"/>
        <w:numPr>
          <w:ilvl w:val="1"/>
          <w:numId w:val="271"/>
        </w:numPr>
        <w:ind w:left="0" w:hanging="0"/>
        <w:rPr/>
      </w:pPr>
      <w:r>
        <w:rPr/>
        <w:t>A contratação será atendida pela seguinte dotação: Em atenç</w:t>
      </w:r>
      <w:r>
        <w:rPr>
          <w:rFonts w:eastAsia="ＭＳ 明朝" w:cs="Times New Roman" w:eastAsiaTheme="minorEastAsia"/>
          <w:color w:val="auto"/>
          <w:kern w:val="0"/>
          <w:sz w:val="20"/>
          <w:szCs w:val="20"/>
          <w:lang w:val="pt-BR" w:eastAsia="en-US" w:bidi="ar-SA"/>
        </w:rPr>
        <w:t>ão ao disposto no i</w:t>
      </w:r>
      <w:r>
        <w:rPr/>
        <w:t>nciso IV, do artigo 72, da Lei 14.133/21.</w:t>
      </w:r>
    </w:p>
    <w:p>
      <w:pPr>
        <w:pStyle w:val="Normal"/>
        <w:numPr>
          <w:ilvl w:val="0"/>
          <w:numId w:val="3"/>
        </w:numPr>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Gestão/Unidade: [...];</w:t>
      </w:r>
    </w:p>
    <w:p>
      <w:pPr>
        <w:pStyle w:val="Normal"/>
        <w:numPr>
          <w:ilvl w:val="0"/>
          <w:numId w:val="3"/>
        </w:numPr>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Fonte de Recursos: [...];</w:t>
      </w:r>
    </w:p>
    <w:p>
      <w:pPr>
        <w:pStyle w:val="Normal"/>
        <w:numPr>
          <w:ilvl w:val="0"/>
          <w:numId w:val="3"/>
        </w:numPr>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Programa de Trabalho: [...];</w:t>
      </w:r>
    </w:p>
    <w:p>
      <w:pPr>
        <w:pStyle w:val="Normal"/>
        <w:numPr>
          <w:ilvl w:val="0"/>
          <w:numId w:val="3"/>
        </w:numPr>
        <w:spacing w:lineRule="auto" w:line="276" w:before="120" w:after="120"/>
        <w:ind w:left="284" w:hanging="0"/>
        <w:contextualSpacing/>
        <w:jc w:val="both"/>
        <w:rPr>
          <w:rFonts w:ascii="Arial" w:hAnsi="Arial" w:eastAsia="Arial" w:cs="Arial"/>
          <w:sz w:val="20"/>
          <w:szCs w:val="20"/>
        </w:rPr>
      </w:pPr>
      <w:r>
        <w:rPr>
          <w:rFonts w:eastAsia="Arial" w:cs="Arial" w:ascii="Arial" w:hAnsi="Arial"/>
          <w:sz w:val="20"/>
          <w:szCs w:val="20"/>
        </w:rPr>
        <w:t>Elemento de Despesa: [...];</w:t>
      </w:r>
    </w:p>
    <w:p>
      <w:pPr>
        <w:pStyle w:val="Normal"/>
        <w:numPr>
          <w:ilvl w:val="0"/>
          <w:numId w:val="3"/>
        </w:numPr>
        <w:spacing w:lineRule="auto" w:line="276" w:before="120" w:after="120"/>
        <w:ind w:left="284" w:hanging="0"/>
        <w:contextualSpacing/>
        <w:jc w:val="both"/>
        <w:rPr>
          <w:rFonts w:eastAsia="MS Mincho"/>
        </w:rPr>
      </w:pPr>
      <w:r>
        <w:rPr>
          <w:rFonts w:eastAsia="Arial" w:cs="Arial" w:ascii="Arial" w:hAnsi="Arial"/>
          <w:sz w:val="20"/>
          <w:szCs w:val="20"/>
        </w:rPr>
        <w:t>Plano Interno: [...];</w:t>
      </w:r>
    </w:p>
    <w:p>
      <w:pPr>
        <w:pStyle w:val="Normal"/>
        <w:numPr>
          <w:ilvl w:val="1"/>
          <w:numId w:val="272"/>
        </w:numPr>
        <w:ind w:left="0" w:hanging="0"/>
        <w:rPr/>
      </w:pPr>
      <w:r>
        <w:rPr/>
        <w:t>A dotação relativa aos exercícios financeiros subsequentes será indicada após aprovação da Lei Orçamentária respectiva e liberação dos créditos correspondentes, mediante apostilamento.</w:t>
      </w:r>
      <w:bookmarkEnd w:id="0"/>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val="false"/>
          <w:bCs w:val="false"/>
          <w:i w:val="false"/>
          <w:iCs w:val="false"/>
          <w:color w:val="000000"/>
          <w:kern w:val="0"/>
          <w:sz w:val="20"/>
          <w:szCs w:val="20"/>
          <w:shd w:fill="FFFFFF" w:val="clear"/>
          <w:lang w:val="pt-BR" w:eastAsia="en-US" w:bidi="ar-SA"/>
        </w:rPr>
        <w:t>Município de Salvador-BA, 2</w:t>
      </w:r>
      <w:r>
        <w:rPr>
          <w:rFonts w:eastAsia="ＭＳ 明朝" w:cs="Times New Roman" w:eastAsiaTheme="minorEastAsia"/>
          <w:b w:val="false"/>
          <w:bCs w:val="false"/>
          <w:i w:val="false"/>
          <w:iCs w:val="false"/>
          <w:color w:val="000000"/>
          <w:kern w:val="0"/>
          <w:sz w:val="20"/>
          <w:szCs w:val="20"/>
          <w:shd w:fill="FFFFFF" w:val="clear"/>
          <w:lang w:val="pt-BR" w:eastAsia="en-US" w:bidi="ar-SA"/>
        </w:rPr>
        <w:t>9</w:t>
      </w:r>
      <w:r>
        <w:rPr>
          <w:rFonts w:eastAsia="ＭＳ 明朝" w:cs="Times New Roman" w:eastAsiaTheme="minorEastAsia"/>
          <w:b w:val="false"/>
          <w:bCs w:val="false"/>
          <w:i w:val="false"/>
          <w:iCs w:val="false"/>
          <w:color w:val="000000"/>
          <w:kern w:val="0"/>
          <w:sz w:val="20"/>
          <w:szCs w:val="20"/>
          <w:shd w:fill="FFFFFF" w:val="clear"/>
          <w:lang w:val="pt-BR" w:eastAsia="en-US" w:bidi="ar-SA"/>
        </w:rPr>
        <w:t xml:space="preserve"> de </w:t>
      </w:r>
      <w:r>
        <w:rPr>
          <w:rFonts w:eastAsia="ＭＳ 明朝" w:cs="Times New Roman" w:eastAsiaTheme="minorEastAsia"/>
          <w:b w:val="false"/>
          <w:bCs w:val="false"/>
          <w:i w:val="false"/>
          <w:iCs w:val="false"/>
          <w:color w:val="000000"/>
          <w:kern w:val="0"/>
          <w:sz w:val="20"/>
          <w:szCs w:val="20"/>
          <w:shd w:fill="FFFFFF" w:val="clear"/>
          <w:lang w:val="pt-BR" w:eastAsia="en-US" w:bidi="ar-SA"/>
        </w:rPr>
        <w:t>fevereiro</w:t>
      </w:r>
      <w:r>
        <w:rPr>
          <w:rFonts w:eastAsia="ＭＳ 明朝" w:cs="Times New Roman" w:eastAsiaTheme="minorEastAsia"/>
          <w:b w:val="false"/>
          <w:bCs w:val="false"/>
          <w:i w:val="false"/>
          <w:iCs w:val="false"/>
          <w:color w:val="000000"/>
          <w:kern w:val="0"/>
          <w:sz w:val="20"/>
          <w:szCs w:val="20"/>
          <w:shd w:fill="FFFFFF" w:val="clear"/>
          <w:lang w:val="pt-BR" w:eastAsia="en-US" w:bidi="ar-SA"/>
        </w:rPr>
        <w:t xml:space="preserve"> de 202</w:t>
      </w:r>
      <w:r>
        <w:rPr>
          <w:rFonts w:eastAsia="ＭＳ 明朝" w:cs="Times New Roman" w:eastAsiaTheme="minorEastAsia"/>
          <w:b w:val="false"/>
          <w:bCs w:val="false"/>
          <w:i w:val="false"/>
          <w:iCs w:val="false"/>
          <w:color w:val="000000"/>
          <w:kern w:val="0"/>
          <w:sz w:val="20"/>
          <w:szCs w:val="20"/>
          <w:shd w:fill="FFFFFF" w:val="clear"/>
          <w:lang w:val="pt-BR" w:eastAsia="en-US" w:bidi="ar-SA"/>
        </w:rPr>
        <w:t>4</w:t>
      </w:r>
      <w:r>
        <w:rPr>
          <w:rFonts w:eastAsia="ＭＳ 明朝" w:cs="Times New Roman" w:eastAsiaTheme="minorEastAsia"/>
          <w:b w:val="false"/>
          <w:bCs w:val="false"/>
          <w:i w:val="false"/>
          <w:iCs w:val="false"/>
          <w:color w:val="000000"/>
          <w:kern w:val="0"/>
          <w:sz w:val="20"/>
          <w:szCs w:val="20"/>
          <w:shd w:fill="FFFFFF" w:val="clear"/>
          <w:lang w:val="pt-BR" w:eastAsia="en-US" w:bidi="ar-SA"/>
        </w:rPr>
        <w:t>.</w:t>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color w:val="auto"/>
          <w:kern w:val="0"/>
          <w:sz w:val="20"/>
          <w:szCs w:val="20"/>
          <w:lang w:val="pt-BR" w:eastAsia="en-US" w:bidi="ar-SA"/>
        </w:rPr>
      </w:r>
    </w:p>
    <w:p>
      <w:pPr>
        <w:pStyle w:val="Normal"/>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bCs/>
          <w:i w:val="false"/>
          <w:iCs w:val="false"/>
          <w:strike w:val="false"/>
          <w:dstrike w:val="false"/>
          <w:outline w:val="false"/>
          <w:shadow w:val="false"/>
          <w:color w:val="000000"/>
          <w:kern w:val="0"/>
          <w:sz w:val="20"/>
          <w:szCs w:val="20"/>
          <w:u w:val="none"/>
          <w:shd w:fill="auto" w:val="clear"/>
          <w:em w:val="none"/>
          <w:lang w:val="pt-BR" w:eastAsia="en-US" w:bidi="ar-SA"/>
        </w:rPr>
        <w:tab/>
      </w:r>
      <w:r>
        <w:rPr>
          <w:rFonts w:eastAsia="ＭＳ 明朝" w:cs="Times New Roman" w:eastAsiaTheme="minorEastAsia"/>
          <w:b/>
          <w:bCs/>
          <w:i w:val="false"/>
          <w:iCs w:val="false"/>
          <w:strike w:val="false"/>
          <w:dstrike w:val="false"/>
          <w:outline w:val="false"/>
          <w:shadow w:val="false"/>
          <w:color w:val="000000"/>
          <w:kern w:val="0"/>
          <w:sz w:val="20"/>
          <w:szCs w:val="20"/>
          <w:u w:val="none"/>
          <w:shd w:fill="auto" w:val="clear"/>
          <w:em w:val="none"/>
          <w:lang w:val="pt-BR" w:eastAsia="en-US" w:bidi="ar-SA"/>
        </w:rPr>
        <w:t>CAROLINA CAIRES DE ALMEIRA</w:t>
      </w:r>
      <w:r>
        <w:rPr>
          <w:rFonts w:eastAsia="ＭＳ 明朝" w:cs="Times New Roman" w:eastAsiaTheme="minorEastAsia"/>
          <w:b/>
          <w:bCs/>
          <w:i w:val="false"/>
          <w:iCs w:val="false"/>
          <w:strike w:val="false"/>
          <w:dstrike w:val="false"/>
          <w:outline w:val="false"/>
          <w:shadow w:val="false"/>
          <w:color w:val="000000"/>
          <w:kern w:val="0"/>
          <w:sz w:val="20"/>
          <w:szCs w:val="20"/>
          <w:u w:val="none"/>
          <w:shd w:fill="auto" w:val="clear"/>
          <w:em w:val="none"/>
          <w:lang w:val="pt-BR" w:eastAsia="en-US" w:bidi="ar-SA"/>
        </w:rPr>
        <w:t xml:space="preserve"> – 2º Ten</w:t>
      </w:r>
    </w:p>
    <w:p>
      <w:pPr>
        <w:pStyle w:val="Normal"/>
        <w:shd w:val="clear" w:fill="FFFFFF"/>
        <w:spacing w:before="57" w:after="57"/>
        <w:ind w:left="360" w:right="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b w:val="false"/>
          <w:bCs w:val="false"/>
          <w:i w:val="false"/>
          <w:iCs w:val="false"/>
          <w:color w:val="000000"/>
          <w:kern w:val="0"/>
          <w:sz w:val="20"/>
          <w:szCs w:val="20"/>
          <w:shd w:fill="FFFFFF" w:val="clear"/>
          <w:lang w:val="pt-BR" w:eastAsia="en-US" w:bidi="ar-SA"/>
        </w:rPr>
        <w:t>Chefe da FSR</w:t>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color w:val="auto"/>
          <w:kern w:val="0"/>
          <w:sz w:val="20"/>
          <w:szCs w:val="20"/>
          <w:lang w:val="pt-BR" w:eastAsia="en-US" w:bidi="ar-SA"/>
        </w:rPr>
      </w:pPr>
      <w:r>
        <w:rPr>
          <w:rFonts w:eastAsia="ＭＳ 明朝" w:cs="Times New Roman" w:eastAsiaTheme="minorEastAsia"/>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b/>
          <w:b/>
          <w:bCs/>
          <w:color w:val="auto"/>
          <w:kern w:val="0"/>
          <w:sz w:val="20"/>
          <w:szCs w:val="20"/>
          <w:lang w:val="pt-BR" w:eastAsia="en-US" w:bidi="ar-SA"/>
        </w:rPr>
      </w:pPr>
      <w:r>
        <w:rPr>
          <w:rFonts w:eastAsia="ＭＳ 明朝" w:cs="Times New Roman" w:eastAsiaTheme="minorEastAsia"/>
          <w:b/>
          <w:bCs/>
          <w:i w:val="false"/>
          <w:iCs w:val="false"/>
          <w:color w:val="000000"/>
          <w:kern w:val="0"/>
          <w:sz w:val="20"/>
          <w:szCs w:val="20"/>
          <w:shd w:fill="FFFFFF" w:val="clear"/>
          <w:lang w:val="pt-BR" w:eastAsia="en-US" w:bidi="ar-SA"/>
        </w:rPr>
        <w:t>APROVAÇÃO DO TERMO DE REFERÊNCIA</w:t>
      </w:r>
    </w:p>
    <w:p>
      <w:pPr>
        <w:pStyle w:val="Normal"/>
        <w:numPr>
          <w:ilvl w:val="0"/>
          <w:numId w:val="0"/>
        </w:numPr>
        <w:shd w:val="clear" w:fill="FFFFFF"/>
        <w:spacing w:lineRule="auto" w:line="240" w:before="57" w:after="57"/>
        <w:ind w:left="360" w:hanging="0"/>
        <w:jc w:val="center"/>
        <w:rPr>
          <w:rFonts w:ascii="Calibri Light" w:hAnsi="Calibri Light" w:cs="Ecofont_Spranq_eco_Sans"/>
          <w:b w:val="false"/>
          <w:b w:val="false"/>
          <w:bCs w:val="false"/>
          <w:i w:val="false"/>
          <w:i w:val="false"/>
          <w:iCs w:val="false"/>
          <w:color w:val="000000"/>
          <w:sz w:val="24"/>
          <w:szCs w:val="24"/>
        </w:rPr>
      </w:pPr>
      <w:r>
        <w:rPr>
          <w:rFonts w:cs="Ecofont_Spranq_eco_Sans" w:ascii="Calibri Light" w:hAnsi="Calibri Light"/>
          <w:b w:val="false"/>
          <w:bCs w:val="false"/>
          <w:i w:val="false"/>
          <w:iCs w:val="false"/>
          <w:color w:val="000000"/>
          <w:sz w:val="24"/>
          <w:szCs w:val="24"/>
        </w:rPr>
      </w:r>
    </w:p>
    <w:p>
      <w:pPr>
        <w:pStyle w:val="Normal"/>
        <w:numPr>
          <w:ilvl w:val="0"/>
          <w:numId w:val="0"/>
        </w:numPr>
        <w:shd w:val="clear" w:fill="FFFFFF"/>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 xml:space="preserve">Aprovo o conteúdo deste Termo de Referência do Pregão no </w:t>
      </w:r>
      <w:r>
        <w:rPr>
          <w:rFonts w:eastAsia="ＭＳ 明朝" w:cs="Times New Roman" w:eastAsiaTheme="minorEastAsia"/>
          <w:b w:val="false"/>
          <w:bCs w:val="false"/>
          <w:i w:val="false"/>
          <w:iCs w:val="false"/>
          <w:color w:val="auto"/>
          <w:kern w:val="0"/>
          <w:sz w:val="20"/>
          <w:szCs w:val="20"/>
          <w:lang w:val="pt-BR" w:eastAsia="en-US" w:bidi="ar-SA"/>
        </w:rPr>
        <w:t>90003</w:t>
      </w:r>
      <w:r>
        <w:rPr>
          <w:rFonts w:eastAsia="ＭＳ 明朝" w:cs="Times New Roman" w:eastAsiaTheme="minorEastAsia"/>
          <w:b w:val="false"/>
          <w:bCs w:val="false"/>
          <w:i w:val="false"/>
          <w:iCs w:val="false"/>
          <w:color w:val="auto"/>
          <w:kern w:val="0"/>
          <w:sz w:val="20"/>
          <w:szCs w:val="20"/>
          <w:lang w:val="pt-BR" w:eastAsia="en-US" w:bidi="ar-SA"/>
        </w:rPr>
        <w:t>/202</w:t>
      </w:r>
      <w:r>
        <w:rPr>
          <w:rFonts w:eastAsia="ＭＳ 明朝" w:cs="Times New Roman" w:eastAsiaTheme="minorEastAsia"/>
          <w:b w:val="false"/>
          <w:bCs w:val="false"/>
          <w:i w:val="false"/>
          <w:iCs w:val="false"/>
          <w:color w:val="auto"/>
          <w:kern w:val="0"/>
          <w:sz w:val="20"/>
          <w:szCs w:val="20"/>
          <w:lang w:val="pt-BR" w:eastAsia="en-US" w:bidi="ar-SA"/>
        </w:rPr>
        <w:t>4</w:t>
      </w:r>
      <w:r>
        <w:rPr>
          <w:rFonts w:eastAsia="ＭＳ 明朝" w:cs="Times New Roman" w:eastAsiaTheme="minorEastAsia"/>
          <w:b w:val="false"/>
          <w:bCs w:val="false"/>
          <w:i w:val="false"/>
          <w:iCs w:val="false"/>
          <w:color w:val="auto"/>
          <w:kern w:val="0"/>
          <w:sz w:val="20"/>
          <w:szCs w:val="20"/>
          <w:lang w:val="pt-BR" w:eastAsia="en-US" w:bidi="ar-SA"/>
        </w:rPr>
        <w:t xml:space="preserve"> . Em face da necessidade de Aquisição de Equipamento médico-hospitalar e odontológico, visando atender as necessidades do Parque Regional de Manutenção 6ª RM.</w:t>
      </w:r>
    </w:p>
    <w:p>
      <w:pPr>
        <w:pStyle w:val="Normal"/>
        <w:numPr>
          <w:ilvl w:val="0"/>
          <w:numId w:val="0"/>
        </w:numPr>
        <w:shd w:val="clear" w:fill="FFFFFF"/>
        <w:spacing w:lineRule="auto" w:line="240" w:before="57" w:after="57"/>
        <w:ind w:left="360" w:hanging="0"/>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 xml:space="preserve">Cumpre salientar que </w:t>
      </w:r>
      <w:r>
        <w:rPr>
          <w:rFonts w:eastAsia="ＭＳ 明朝" w:cs="Times New Roman" w:eastAsiaTheme="minorEastAsia"/>
          <w:b w:val="false"/>
          <w:bCs w:val="false"/>
          <w:i w:val="false"/>
          <w:iCs w:val="false"/>
          <w:color w:val="auto"/>
          <w:kern w:val="0"/>
          <w:sz w:val="20"/>
          <w:szCs w:val="20"/>
          <w:highlight w:val="white"/>
          <w:u w:val="none"/>
          <w:lang w:val="pt-BR" w:eastAsia="en-US" w:bidi="ar-SA"/>
        </w:rPr>
        <w:t>nos termos da Lei nº 12.527, de 18 de novembro de 2011, o presente documento é classificado como documento público.</w:t>
      </w:r>
    </w:p>
    <w:p>
      <w:pPr>
        <w:pStyle w:val="Normal"/>
        <w:shd w:val="clear" w:fill="FFFFFF"/>
        <w:spacing w:lineRule="auto" w:line="240" w:before="57" w:after="57"/>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000000"/>
          <w:kern w:val="0"/>
          <w:sz w:val="20"/>
          <w:szCs w:val="20"/>
          <w:shd w:fill="FFFFFF" w:val="clear"/>
          <w:lang w:val="pt-BR" w:eastAsia="en-US" w:bidi="ar-SA"/>
        </w:rPr>
        <w:t xml:space="preserve">Município de Salvador-BA, </w:t>
      </w:r>
      <w:r>
        <w:rPr>
          <w:rFonts w:eastAsia="ＭＳ 明朝" w:cs="Times New Roman" w:eastAsiaTheme="minorEastAsia"/>
          <w:b w:val="false"/>
          <w:bCs w:val="false"/>
          <w:i w:val="false"/>
          <w:iCs w:val="false"/>
          <w:color w:val="000000"/>
          <w:kern w:val="0"/>
          <w:sz w:val="20"/>
          <w:szCs w:val="20"/>
          <w:shd w:fill="FFFFFF" w:val="clear"/>
          <w:lang w:val="pt-BR" w:eastAsia="en-US" w:bidi="ar-SA"/>
        </w:rPr>
        <w:t>29</w:t>
      </w:r>
      <w:r>
        <w:rPr>
          <w:rFonts w:eastAsia="ＭＳ 明朝" w:cs="Times New Roman" w:eastAsiaTheme="minorEastAsia"/>
          <w:b w:val="false"/>
          <w:bCs w:val="false"/>
          <w:i w:val="false"/>
          <w:iCs w:val="false"/>
          <w:color w:val="000000"/>
          <w:kern w:val="0"/>
          <w:sz w:val="20"/>
          <w:szCs w:val="20"/>
          <w:shd w:fill="FFFFFF" w:val="clear"/>
          <w:lang w:val="pt-BR" w:eastAsia="en-US" w:bidi="ar-SA"/>
        </w:rPr>
        <w:t xml:space="preserve"> de </w:t>
      </w:r>
      <w:r>
        <w:rPr>
          <w:rFonts w:eastAsia="ＭＳ 明朝" w:cs="Times New Roman" w:eastAsiaTheme="minorEastAsia"/>
          <w:b w:val="false"/>
          <w:bCs w:val="false"/>
          <w:i w:val="false"/>
          <w:iCs w:val="false"/>
          <w:color w:val="000000"/>
          <w:kern w:val="0"/>
          <w:sz w:val="20"/>
          <w:szCs w:val="20"/>
          <w:shd w:fill="FFFFFF" w:val="clear"/>
          <w:lang w:val="pt-BR" w:eastAsia="en-US" w:bidi="ar-SA"/>
        </w:rPr>
        <w:t>fevereiro</w:t>
      </w:r>
      <w:r>
        <w:rPr>
          <w:rFonts w:eastAsia="ＭＳ 明朝" w:cs="Times New Roman" w:eastAsiaTheme="minorEastAsia"/>
          <w:b w:val="false"/>
          <w:bCs w:val="false"/>
          <w:i w:val="false"/>
          <w:iCs w:val="false"/>
          <w:color w:val="000000"/>
          <w:kern w:val="0"/>
          <w:sz w:val="20"/>
          <w:szCs w:val="20"/>
          <w:shd w:fill="FFFFFF" w:val="clear"/>
          <w:lang w:val="pt-BR" w:eastAsia="en-US" w:bidi="ar-SA"/>
        </w:rPr>
        <w:t xml:space="preserve"> de 202</w:t>
      </w:r>
      <w:r>
        <w:rPr>
          <w:rFonts w:eastAsia="ＭＳ 明朝" w:cs="Times New Roman" w:eastAsiaTheme="minorEastAsia"/>
          <w:b w:val="false"/>
          <w:bCs w:val="false"/>
          <w:i w:val="false"/>
          <w:iCs w:val="false"/>
          <w:color w:val="000000"/>
          <w:kern w:val="0"/>
          <w:sz w:val="20"/>
          <w:szCs w:val="20"/>
          <w:shd w:fill="FFFFFF" w:val="clear"/>
          <w:lang w:val="pt-BR" w:eastAsia="en-US" w:bidi="ar-SA"/>
        </w:rPr>
        <w:t>4</w:t>
      </w:r>
      <w:r>
        <w:rPr>
          <w:rFonts w:eastAsia="ＭＳ 明朝" w:cs="Times New Roman" w:eastAsiaTheme="minorEastAsia"/>
          <w:b w:val="false"/>
          <w:bCs w:val="false"/>
          <w:i w:val="false"/>
          <w:iCs w:val="false"/>
          <w:color w:val="000000"/>
          <w:kern w:val="0"/>
          <w:sz w:val="20"/>
          <w:szCs w:val="20"/>
          <w:shd w:fill="FFFFFF" w:val="clear"/>
          <w:lang w:val="pt-BR" w:eastAsia="en-US" w:bidi="ar-SA"/>
        </w:rPr>
        <w:t>.</w:t>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r>
    </w:p>
    <w:p>
      <w:pPr>
        <w:pStyle w:val="Normal"/>
        <w:shd w:val="clear" w:fill="FFFFFF"/>
        <w:spacing w:lineRule="auto" w:line="240" w:before="57" w:after="57"/>
        <w:jc w:val="both"/>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
    </w:p>
    <w:p>
      <w:pPr>
        <w:pStyle w:val="Normal"/>
        <w:numPr>
          <w:ilvl w:val="0"/>
          <w:numId w:val="0"/>
        </w:numPr>
        <w:shd w:val="clear" w:fill="FFFFFF"/>
        <w:spacing w:lineRule="auto" w:line="240" w:before="57" w:after="57"/>
        <w:ind w:left="360" w:hanging="0"/>
        <w:jc w:val="center"/>
        <w:rPr>
          <w:b/>
          <w:b/>
          <w:bCs/>
        </w:rPr>
      </w:pPr>
      <w:r>
        <w:rPr>
          <w:rFonts w:eastAsia="ＭＳ 明朝" w:cs="Times New Roman" w:eastAsiaTheme="minorEastAsia"/>
          <w:b/>
          <w:bCs/>
          <w:i w:val="false"/>
          <w:iCs w:val="false"/>
          <w:color w:val="auto"/>
          <w:kern w:val="0"/>
          <w:sz w:val="20"/>
          <w:szCs w:val="20"/>
          <w:lang w:val="pt-BR" w:eastAsia="en-US" w:bidi="ar-SA"/>
        </w:rPr>
        <w:t>NEWMAR SCHMITT - TC</w:t>
      </w:r>
    </w:p>
    <w:p>
      <w:pPr>
        <w:pStyle w:val="Normal"/>
        <w:numPr>
          <w:ilvl w:val="0"/>
          <w:numId w:val="0"/>
        </w:numPr>
        <w:shd w:val="clear" w:fill="FFFFFF"/>
        <w:spacing w:lineRule="auto" w:line="240" w:before="57" w:after="57"/>
        <w:ind w:left="360" w:hanging="0"/>
        <w:jc w:val="center"/>
        <w:rPr>
          <w:rFonts w:ascii="Times New Roman" w:hAnsi="Times New Roman" w:eastAsia="ＭＳ 明朝" w:cs="Times New Roman" w:eastAsiaTheme="minorEastAsia"/>
          <w:b w:val="false"/>
          <w:b w:val="false"/>
          <w:bCs w:val="false"/>
          <w:i w:val="false"/>
          <w:i w:val="false"/>
          <w:iCs w:val="false"/>
          <w:color w:val="auto"/>
          <w:kern w:val="0"/>
          <w:sz w:val="20"/>
          <w:szCs w:val="20"/>
          <w:lang w:val="pt-BR" w:eastAsia="en-US" w:bidi="ar-SA"/>
        </w:rPr>
      </w:pPr>
      <w:r>
        <w:rPr>
          <w:rFonts w:eastAsia="ＭＳ 明朝" w:cs="Times New Roman" w:eastAsiaTheme="minorEastAsia"/>
          <w:b w:val="false"/>
          <w:bCs w:val="false"/>
          <w:i w:val="false"/>
          <w:iCs w:val="false"/>
          <w:color w:val="auto"/>
          <w:kern w:val="0"/>
          <w:sz w:val="20"/>
          <w:szCs w:val="20"/>
          <w:lang w:val="pt-BR" w:eastAsia="en-US" w:bidi="ar-SA"/>
        </w:rPr>
        <w:t>Ordenador de Despesas do Pq R Mnt/6ª RM</w:t>
      </w:r>
    </w:p>
    <w:p>
      <w:pPr>
        <w:pStyle w:val="Normal"/>
        <w:rPr>
          <w:rFonts w:ascii="Calibri Light" w:hAnsi="Calibri Light"/>
          <w:sz w:val="24"/>
          <w:szCs w:val="24"/>
        </w:rPr>
      </w:pPr>
      <w:r>
        <w:rPr/>
      </w:r>
    </w:p>
    <w:sectPr>
      <w:headerReference w:type="default" r:id="rId10"/>
      <w:footerReference w:type="default" r:id="rId11"/>
      <w:type w:val="nextPage"/>
      <w:pgSz w:w="11906" w:h="16838"/>
      <w:pgMar w:left="1134" w:right="1134" w:gutter="0" w:header="709" w:top="1418" w:footer="709" w:bottom="1418"/>
      <w:pgNumType w:fmt="decimal"/>
      <w:formProt w:val="false"/>
      <w:textDirection w:val="lrTb"/>
      <w:docGrid w:type="default" w:linePitch="360" w:charSpace="25395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ahoma">
    <w:charset w:val="01"/>
    <w:family w:val="roman"/>
    <w:pitch w:val="variable"/>
  </w:font>
  <w:font w:name="Arial">
    <w:charset w:val="01"/>
    <w:family w:val="roman"/>
    <w:pitch w:val="variable"/>
  </w:font>
  <w:font w:name="Ecofont_Spranq_eco_Sans">
    <w:charset w:val="01"/>
    <w:family w:val="roman"/>
    <w:pitch w:val="variable"/>
  </w:font>
  <w:font w:name="Calibri">
    <w:charset w:val="01"/>
    <w:family w:val="roman"/>
    <w:pitch w:val="variable"/>
  </w:font>
  <w:font w:name="Liberation Sans">
    <w:altName w:val="Arial"/>
    <w:charset w:val="01"/>
    <w:family w:val="roman"/>
    <w:pitch w:val="variable"/>
  </w:font>
  <w:font w:name="Calibri Light">
    <w:charset w:val="01"/>
    <w:family w:val="roman"/>
    <w:pitch w:val="variable"/>
  </w:font>
  <w:font w:name="aRIAL">
    <w:charset w:val="01"/>
    <w:family w:val="roman"/>
    <w:pitch w:val="variable"/>
  </w:font>
  <w:font w:name="CALIBRI LIGHT">
    <w:charset w:val="01"/>
    <w:family w:val="auto"/>
    <w:pitch w:val="default"/>
  </w:font>
  <w:font w:name="Rawline">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sdt>
    <w:sdtPr>
      <w:docPartObj>
        <w:docPartGallery w:val="Page Numbers (Bottom of Page)"/>
        <w:docPartUnique w:val="true"/>
      </w:docPartObj>
      <w:id w:val="864192776"/>
    </w:sdtPr>
    <w:sdtContent>
      <w:p>
        <w:pPr>
          <w:pStyle w:val="Normal"/>
          <w:rPr>
            <w:color w:val="548DD4" w:themeColor="text2" w:themeTint="99"/>
            <w:spacing w:val="60"/>
            <w:sz w:val="16"/>
            <w:szCs w:val="16"/>
          </w:rPr>
        </w:pPr>
        <w:r>
          <w:rPr>
            <w:color w:val="548DD4" w:themeColor="text2" w:themeTint="99"/>
            <w:spacing w:val="60"/>
            <w:sz w:val="22"/>
            <w:szCs w:val="22"/>
          </w:rPr>
          <w:tab/>
          <w:tab/>
        </w:r>
      </w:p>
      <w:p>
        <w:pPr>
          <w:pStyle w:val="Normal"/>
          <w:rPr>
            <w:rFonts w:ascii="Arial" w:hAnsi="Arial" w:cs="Arial"/>
            <w:color w:val="7F7F7F" w:themeColor="text1" w:themeTint="80"/>
            <w:sz w:val="12"/>
          </w:rPr>
        </w:pPr>
        <w:r>
          <w:rPr>
            <w:color w:val="7F7F7F" w:themeColor="text1" w:themeTint="80"/>
            <w:spacing w:val="60"/>
            <w:sz w:val="22"/>
            <w:szCs w:val="22"/>
          </w:rPr>
          <w:tab/>
          <w:tab/>
        </w:r>
        <w:r>
          <w:rPr>
            <w:color w:val="595959" w:themeColor="text1" w:themeTint="a6"/>
            <w:spacing w:val="60"/>
            <w:sz w:val="22"/>
            <w:szCs w:val="22"/>
          </w:rPr>
          <w:t>Página</w:t>
        </w:r>
        <w:r>
          <w:rPr>
            <w:color w:val="595959" w:themeColor="text1" w:themeTint="a6"/>
            <w:sz w:val="22"/>
            <w:szCs w:val="22"/>
          </w:rPr>
          <w:t xml:space="preserve"> </w:t>
        </w:r>
        <w:r>
          <w:rPr>
            <w:color w:val="595959"/>
            <w:sz w:val="22"/>
            <w:szCs w:val="22"/>
            <w:shd w:fill="E6E6E6" w:val="clear"/>
          </w:rPr>
          <w:fldChar w:fldCharType="begin"/>
        </w:r>
        <w:r>
          <w:rPr>
            <w:sz w:val="22"/>
            <w:shd w:fill="E6E6E6" w:val="clear"/>
            <w:szCs w:val="22"/>
            <w:color w:val="595959"/>
          </w:rPr>
          <w:instrText xml:space="preserve"> PAGE </w:instrText>
        </w:r>
        <w:r>
          <w:rPr>
            <w:sz w:val="22"/>
            <w:shd w:fill="E6E6E6" w:val="clear"/>
            <w:szCs w:val="22"/>
            <w:color w:val="595959"/>
          </w:rPr>
          <w:fldChar w:fldCharType="separate"/>
        </w:r>
        <w:r>
          <w:rPr>
            <w:sz w:val="22"/>
            <w:shd w:fill="E6E6E6" w:val="clear"/>
            <w:szCs w:val="22"/>
            <w:color w:val="595959"/>
          </w:rPr>
          <w:t>8</w:t>
        </w:r>
        <w:r>
          <w:rPr>
            <w:sz w:val="22"/>
            <w:shd w:fill="E6E6E6" w:val="clear"/>
            <w:szCs w:val="22"/>
            <w:color w:val="595959"/>
          </w:rPr>
          <w:fldChar w:fldCharType="end"/>
        </w:r>
        <w:r>
          <w:rPr>
            <w:color w:val="595959" w:themeColor="text1" w:themeTint="a6"/>
            <w:sz w:val="22"/>
            <w:szCs w:val="22"/>
          </w:rPr>
          <w:t xml:space="preserve"> | </w:t>
        </w:r>
        <w:r>
          <w:rPr>
            <w:color w:val="595959"/>
            <w:sz w:val="22"/>
            <w:szCs w:val="22"/>
            <w:shd w:fill="E6E6E6" w:val="clear"/>
          </w:rPr>
          <w:fldChar w:fldCharType="begin"/>
        </w:r>
        <w:r>
          <w:rPr>
            <w:sz w:val="22"/>
            <w:shd w:fill="E6E6E6" w:val="clear"/>
            <w:szCs w:val="22"/>
            <w:color w:val="595959"/>
          </w:rPr>
          <w:instrText xml:space="preserve"> NUMPAGES </w:instrText>
        </w:r>
        <w:r>
          <w:rPr>
            <w:sz w:val="22"/>
            <w:shd w:fill="E6E6E6" w:val="clear"/>
            <w:szCs w:val="22"/>
            <w:color w:val="595959"/>
          </w:rPr>
          <w:fldChar w:fldCharType="separate"/>
        </w:r>
        <w:r>
          <w:rPr>
            <w:sz w:val="22"/>
            <w:shd w:fill="E6E6E6" w:val="clear"/>
            <w:szCs w:val="22"/>
            <w:color w:val="595959"/>
          </w:rPr>
          <w:t>9</w:t>
        </w:r>
        <w:r>
          <w:rPr>
            <w:sz w:val="22"/>
            <w:shd w:fill="E6E6E6" w:val="clear"/>
            <w:szCs w:val="22"/>
            <w:color w:val="595959"/>
          </w:rPr>
          <w:fldChar w:fldCharType="end"/>
        </w:r>
      </w:p>
      <w:p>
        <w:pPr>
          <w:pStyle w:val="Normal"/>
          <w:rPr>
            <w:rFonts w:ascii="Rawline" w:hAnsi="Rawline" w:cs="Arial"/>
            <w:sz w:val="12"/>
          </w:rPr>
        </w:pPr>
        <w:r>
          <w:rPr>
            <w:rFonts w:cs="Arial" w:ascii="Rawline" w:hAnsi="Rawline"/>
            <w:sz w:val="12"/>
          </w:rPr>
          <w:t>Câmara Nacional de Modelos de Licitações e Contratos da Consultoria-Geral da União</w:t>
        </w:r>
      </w:p>
      <w:p>
        <w:pPr>
          <w:pStyle w:val="Normal"/>
          <w:rPr>
            <w:rFonts w:ascii="Rawline" w:hAnsi="Rawline" w:cs="Arial"/>
            <w:sz w:val="12"/>
          </w:rPr>
        </w:pPr>
        <w:r>
          <w:rPr>
            <w:rFonts w:cs="Arial" w:ascii="Rawline" w:hAnsi="Rawline"/>
            <w:sz w:val="12"/>
          </w:rPr>
          <w:t>Atualização: maio/2023</w:t>
        </w:r>
      </w:p>
      <w:p>
        <w:pPr>
          <w:pStyle w:val="Normal"/>
          <w:rPr>
            <w:rFonts w:ascii="Rawline" w:hAnsi="Rawline"/>
            <w:color w:val="0F243E" w:themeColor="text2" w:themeShade="80"/>
            <w:sz w:val="22"/>
            <w:szCs w:val="22"/>
          </w:rPr>
        </w:pPr>
        <w:r>
          <w:rPr>
            <w:rFonts w:cs="Arial" w:ascii="Rawline" w:hAnsi="Rawline"/>
            <w:sz w:val="12"/>
            <w:szCs w:val="12"/>
          </w:rPr>
          <w:t>Termo de Referência Aquisições – Licitação - Modelo para Pregão Eletrônico</w:t>
          <w:tab/>
          <w:tab/>
        </w:r>
      </w:p>
      <w:p>
        <w:pPr>
          <w:pStyle w:val="Normal"/>
          <w:rPr>
            <w:rFonts w:ascii="Rawline" w:hAnsi="Rawline"/>
            <w:sz w:val="12"/>
            <w:szCs w:val="12"/>
          </w:rPr>
        </w:pPr>
        <w:r>
          <w:rPr>
            <w:rFonts w:ascii="Rawline" w:hAnsi="Rawline"/>
            <w:sz w:val="12"/>
            <w:szCs w:val="12"/>
          </w:rPr>
          <w:t>Aprovado pela Secretaria de Gestão.</w:t>
        </w:r>
      </w:p>
      <w:p>
        <w:pPr>
          <w:pStyle w:val="Normal"/>
          <w:rPr>
            <w:rFonts w:ascii="Rawline" w:hAnsi="Rawline"/>
          </w:rPr>
        </w:pPr>
        <w:r>
          <w:rPr>
            <w:rFonts w:ascii="Rawline" w:hAnsi="Rawline"/>
            <w:sz w:val="12"/>
            <w:szCs w:val="12"/>
          </w:rPr>
          <w:t>Identidade visual pela Secretaria de Gestão (versão dezembro/2022)</w:t>
        </w:r>
      </w:p>
    </w:sdtContent>
  </w:sdt>
  <w:p>
    <w:pPr>
      <w:pStyle w:val="Normal"/>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right"/>
      <w:rPr>
        <w:rFonts w:ascii="Arial" w:hAnsi="Arial" w:cs="Arial"/>
        <w:sz w:val="20"/>
        <w:szCs w:val="20"/>
      </w:rPr>
    </w:pPr>
    <w:r>
      <w:rPr>
        <w:rFonts w:cs="Arial" w:ascii="Arial" w:hAnsi="Arial"/>
        <w:sz w:val="20"/>
        <w:szCs w:val="20"/>
      </w:rPr>
      <w:t>TERMO DE REFERÊNCIA - AQUISIÇÕES – LICITAÇÃO</w:t>
    </w:r>
  </w:p>
  <w:p>
    <w:pPr>
      <w:pStyle w:val="Normal"/>
      <w:jc w:val="right"/>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upperRoman"/>
      <w:lvlText w:val="%1)"/>
      <w:lvlJc w:val="left"/>
      <w:pPr>
        <w:tabs>
          <w:tab w:val="num" w:pos="0"/>
        </w:tabs>
        <w:ind w:left="2136" w:hanging="720"/>
      </w:pPr>
      <w:rPr/>
    </w:lvl>
    <w:lvl w:ilvl="1">
      <w:start w:val="1"/>
      <w:numFmt w:val="lowerLetter"/>
      <w:lvlText w:val="%2."/>
      <w:lvlJc w:val="left"/>
      <w:pPr>
        <w:tabs>
          <w:tab w:val="num" w:pos="0"/>
        </w:tabs>
        <w:ind w:left="2496" w:hanging="360"/>
      </w:pPr>
      <w:rPr/>
    </w:lvl>
    <w:lvl w:ilvl="2">
      <w:start w:val="1"/>
      <w:numFmt w:val="lowerRoman"/>
      <w:lvlText w:val="%3."/>
      <w:lvlJc w:val="right"/>
      <w:pPr>
        <w:tabs>
          <w:tab w:val="num" w:pos="0"/>
        </w:tabs>
        <w:ind w:left="3216" w:hanging="180"/>
      </w:pPr>
      <w:rPr/>
    </w:lvl>
    <w:lvl w:ilvl="3">
      <w:start w:val="1"/>
      <w:numFmt w:val="decimal"/>
      <w:lvlText w:val="%4."/>
      <w:lvlJc w:val="left"/>
      <w:pPr>
        <w:tabs>
          <w:tab w:val="num" w:pos="0"/>
        </w:tabs>
        <w:ind w:left="3936" w:hanging="360"/>
      </w:pPr>
      <w:rPr/>
    </w:lvl>
    <w:lvl w:ilvl="4">
      <w:start w:val="1"/>
      <w:numFmt w:val="lowerLetter"/>
      <w:lvlText w:val="%5."/>
      <w:lvlJc w:val="left"/>
      <w:pPr>
        <w:tabs>
          <w:tab w:val="num" w:pos="0"/>
        </w:tabs>
        <w:ind w:left="4656" w:hanging="360"/>
      </w:pPr>
      <w:rPr/>
    </w:lvl>
    <w:lvl w:ilvl="5">
      <w:start w:val="1"/>
      <w:numFmt w:val="lowerRoman"/>
      <w:lvlText w:val="%6."/>
      <w:lvlJc w:val="right"/>
      <w:pPr>
        <w:tabs>
          <w:tab w:val="num" w:pos="0"/>
        </w:tabs>
        <w:ind w:left="5376" w:hanging="180"/>
      </w:pPr>
      <w:rPr/>
    </w:lvl>
    <w:lvl w:ilvl="6">
      <w:start w:val="1"/>
      <w:numFmt w:val="decimal"/>
      <w:lvlText w:val="%7."/>
      <w:lvlJc w:val="left"/>
      <w:pPr>
        <w:tabs>
          <w:tab w:val="num" w:pos="0"/>
        </w:tabs>
        <w:ind w:left="6096" w:hanging="360"/>
      </w:pPr>
      <w:rPr/>
    </w:lvl>
    <w:lvl w:ilvl="7">
      <w:start w:val="1"/>
      <w:numFmt w:val="lowerLetter"/>
      <w:lvlText w:val="%8."/>
      <w:lvlJc w:val="left"/>
      <w:pPr>
        <w:tabs>
          <w:tab w:val="num" w:pos="0"/>
        </w:tabs>
        <w:ind w:left="6816" w:hanging="360"/>
      </w:pPr>
      <w:rPr/>
    </w:lvl>
    <w:lvl w:ilvl="8">
      <w:start w:val="1"/>
      <w:numFmt w:val="lowerRoman"/>
      <w:lvlText w:val="%9."/>
      <w:lvlJc w:val="right"/>
      <w:pPr>
        <w:tabs>
          <w:tab w:val="num" w:pos="0"/>
        </w:tabs>
        <w:ind w:left="7536" w:hanging="180"/>
      </w:pPr>
      <w:rPr/>
    </w:lvl>
  </w:abstractNum>
  <w:abstractNum w:abstractNumId="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4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5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6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7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8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9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8">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29">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0">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1">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2">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3">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4">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5">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6">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7">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999" w:hanging="432"/>
      </w:pPr>
      <w:rPr>
        <w:dstrike w:val="false"/>
        <w:strike w:val="false"/>
        <w:sz w:val="20"/>
        <w:i w:val="false"/>
        <w:u w:val="none"/>
        <w:b w:val="false"/>
        <w:szCs w:val="20"/>
        <w:color w:val="auto"/>
      </w:rPr>
    </w:lvl>
    <w:lvl w:ilvl="2">
      <w:start w:val="1"/>
      <w:numFmt w:val="decimal"/>
      <w:lvlText w:val="%1.%2.%3."/>
      <w:lvlJc w:val="left"/>
      <w:pPr>
        <w:tabs>
          <w:tab w:val="num" w:pos="0"/>
        </w:tabs>
        <w:ind w:left="1781" w:hanging="504"/>
      </w:pPr>
      <w:rPr>
        <w:dstrike w:val="false"/>
        <w:strike w:val="false"/>
        <w:sz w:val="20"/>
        <w:i w:val="false"/>
        <w:b w:val="false"/>
        <w:szCs w:val="20"/>
        <w:rFonts w:ascii="Arial" w:hAnsi="Arial"/>
        <w:color w:val="auto"/>
      </w:rPr>
    </w:lvl>
    <w:lvl w:ilvl="3">
      <w:start w:val="1"/>
      <w:numFmt w:val="decimal"/>
      <w:lvlText w:val="%1.%2.%3.%4."/>
      <w:lvlJc w:val="left"/>
      <w:pPr>
        <w:tabs>
          <w:tab w:val="num" w:pos="0"/>
        </w:tabs>
        <w:ind w:left="2491"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38">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 w:numId="52">
    <w:abstractNumId w:val="52"/>
  </w:num>
  <w:num w:numId="53">
    <w:abstractNumId w:val="53"/>
  </w:num>
  <w:num w:numId="54">
    <w:abstractNumId w:val="54"/>
  </w:num>
  <w:num w:numId="55">
    <w:abstractNumId w:val="55"/>
  </w:num>
  <w:num w:numId="56">
    <w:abstractNumId w:val="56"/>
  </w:num>
  <w:num w:numId="57">
    <w:abstractNumId w:val="57"/>
  </w:num>
  <w:num w:numId="58">
    <w:abstractNumId w:val="58"/>
  </w:num>
  <w:num w:numId="59">
    <w:abstractNumId w:val="59"/>
  </w:num>
  <w:num w:numId="60">
    <w:abstractNumId w:val="60"/>
  </w:num>
  <w:num w:numId="61">
    <w:abstractNumId w:val="61"/>
  </w:num>
  <w:num w:numId="62">
    <w:abstractNumId w:val="62"/>
  </w:num>
  <w:num w:numId="63">
    <w:abstractNumId w:val="63"/>
  </w:num>
  <w:num w:numId="64">
    <w:abstractNumId w:val="64"/>
  </w:num>
  <w:num w:numId="65">
    <w:abstractNumId w:val="65"/>
  </w:num>
  <w:num w:numId="66">
    <w:abstractNumId w:val="66"/>
  </w:num>
  <w:num w:numId="67">
    <w:abstractNumId w:val="67"/>
  </w:num>
  <w:num w:numId="68">
    <w:abstractNumId w:val="68"/>
  </w:num>
  <w:num w:numId="69">
    <w:abstractNumId w:val="69"/>
  </w:num>
  <w:num w:numId="70">
    <w:abstractNumId w:val="70"/>
  </w:num>
  <w:num w:numId="71">
    <w:abstractNumId w:val="71"/>
  </w:num>
  <w:num w:numId="72">
    <w:abstractNumId w:val="72"/>
  </w:num>
  <w:num w:numId="73">
    <w:abstractNumId w:val="73"/>
  </w:num>
  <w:num w:numId="74">
    <w:abstractNumId w:val="74"/>
  </w:num>
  <w:num w:numId="75">
    <w:abstractNumId w:val="75"/>
  </w:num>
  <w:num w:numId="76">
    <w:abstractNumId w:val="76"/>
  </w:num>
  <w:num w:numId="77">
    <w:abstractNumId w:val="77"/>
  </w:num>
  <w:num w:numId="78">
    <w:abstractNumId w:val="78"/>
  </w:num>
  <w:num w:numId="79">
    <w:abstractNumId w:val="79"/>
  </w:num>
  <w:num w:numId="80">
    <w:abstractNumId w:val="80"/>
  </w:num>
  <w:num w:numId="81">
    <w:abstractNumId w:val="81"/>
  </w:num>
  <w:num w:numId="82">
    <w:abstractNumId w:val="82"/>
  </w:num>
  <w:num w:numId="83">
    <w:abstractNumId w:val="83"/>
  </w:num>
  <w:num w:numId="84">
    <w:abstractNumId w:val="84"/>
  </w:num>
  <w:num w:numId="85">
    <w:abstractNumId w:val="85"/>
  </w:num>
  <w:num w:numId="86">
    <w:abstractNumId w:val="86"/>
  </w:num>
  <w:num w:numId="87">
    <w:abstractNumId w:val="87"/>
  </w:num>
  <w:num w:numId="88">
    <w:abstractNumId w:val="88"/>
  </w:num>
  <w:num w:numId="89">
    <w:abstractNumId w:val="89"/>
  </w:num>
  <w:num w:numId="90">
    <w:abstractNumId w:val="90"/>
  </w:num>
  <w:num w:numId="91">
    <w:abstractNumId w:val="91"/>
  </w:num>
  <w:num w:numId="92">
    <w:abstractNumId w:val="92"/>
  </w:num>
  <w:num w:numId="93">
    <w:abstractNumId w:val="93"/>
  </w:num>
  <w:num w:numId="94">
    <w:abstractNumId w:val="94"/>
  </w:num>
  <w:num w:numId="95">
    <w:abstractNumId w:val="95"/>
  </w:num>
  <w:num w:numId="96">
    <w:abstractNumId w:val="96"/>
  </w:num>
  <w:num w:numId="97">
    <w:abstractNumId w:val="97"/>
  </w:num>
  <w:num w:numId="98">
    <w:abstractNumId w:val="98"/>
  </w:num>
  <w:num w:numId="99">
    <w:abstractNumId w:val="99"/>
  </w:num>
  <w:num w:numId="100">
    <w:abstractNumId w:val="100"/>
  </w:num>
  <w:num w:numId="101">
    <w:abstractNumId w:val="101"/>
  </w:num>
  <w:num w:numId="102">
    <w:abstractNumId w:val="102"/>
  </w:num>
  <w:num w:numId="103">
    <w:abstractNumId w:val="103"/>
  </w:num>
  <w:num w:numId="104">
    <w:abstractNumId w:val="104"/>
  </w:num>
  <w:num w:numId="105">
    <w:abstractNumId w:val="105"/>
  </w:num>
  <w:num w:numId="106">
    <w:abstractNumId w:val="106"/>
  </w:num>
  <w:num w:numId="107">
    <w:abstractNumId w:val="107"/>
  </w:num>
  <w:num w:numId="108">
    <w:abstractNumId w:val="108"/>
  </w:num>
  <w:num w:numId="109">
    <w:abstractNumId w:val="109"/>
  </w:num>
  <w:num w:numId="110">
    <w:abstractNumId w:val="110"/>
  </w:num>
  <w:num w:numId="111">
    <w:abstractNumId w:val="111"/>
  </w:num>
  <w:num w:numId="112">
    <w:abstractNumId w:val="112"/>
  </w:num>
  <w:num w:numId="113">
    <w:abstractNumId w:val="113"/>
  </w:num>
  <w:num w:numId="114">
    <w:abstractNumId w:val="114"/>
  </w:num>
  <w:num w:numId="115">
    <w:abstractNumId w:val="115"/>
  </w:num>
  <w:num w:numId="116">
    <w:abstractNumId w:val="116"/>
  </w:num>
  <w:num w:numId="117">
    <w:abstractNumId w:val="117"/>
  </w:num>
  <w:num w:numId="118">
    <w:abstractNumId w:val="118"/>
  </w:num>
  <w:num w:numId="119">
    <w:abstractNumId w:val="119"/>
  </w:num>
  <w:num w:numId="120">
    <w:abstractNumId w:val="120"/>
  </w:num>
  <w:num w:numId="121">
    <w:abstractNumId w:val="121"/>
  </w:num>
  <w:num w:numId="122">
    <w:abstractNumId w:val="122"/>
  </w:num>
  <w:num w:numId="123">
    <w:abstractNumId w:val="123"/>
  </w:num>
  <w:num w:numId="124">
    <w:abstractNumId w:val="124"/>
  </w:num>
  <w:num w:numId="125">
    <w:abstractNumId w:val="125"/>
  </w:num>
  <w:num w:numId="126">
    <w:abstractNumId w:val="126"/>
  </w:num>
  <w:num w:numId="127">
    <w:abstractNumId w:val="127"/>
  </w:num>
  <w:num w:numId="128">
    <w:abstractNumId w:val="128"/>
  </w:num>
  <w:num w:numId="129">
    <w:abstractNumId w:val="129"/>
  </w:num>
  <w:num w:numId="130">
    <w:abstractNumId w:val="130"/>
  </w:num>
  <w:num w:numId="131">
    <w:abstractNumId w:val="131"/>
  </w:num>
  <w:num w:numId="132">
    <w:abstractNumId w:val="132"/>
  </w:num>
  <w:num w:numId="133">
    <w:abstractNumId w:val="133"/>
  </w:num>
  <w:num w:numId="134">
    <w:abstractNumId w:val="134"/>
  </w:num>
  <w:num w:numId="135">
    <w:abstractNumId w:val="135"/>
  </w:num>
  <w:num w:numId="136">
    <w:abstractNumId w:val="136"/>
  </w:num>
  <w:num w:numId="137">
    <w:abstractNumId w:val="137"/>
  </w:num>
  <w:num w:numId="138">
    <w:abstractNumId w:val="138"/>
  </w:num>
  <w:num w:numId="139">
    <w:abstractNumId w:val="2"/>
  </w:num>
  <w:num w:numId="140">
    <w:abstractNumId w:val="2"/>
  </w:num>
  <w:num w:numId="141">
    <w:abstractNumId w:val="2"/>
  </w:num>
  <w:num w:numId="142">
    <w:abstractNumId w:val="2"/>
  </w:num>
  <w:num w:numId="143">
    <w:abstractNumId w:val="2"/>
  </w:num>
  <w:num w:numId="144">
    <w:abstractNumId w:val="2"/>
  </w:num>
  <w:num w:numId="145">
    <w:abstractNumId w:val="2"/>
  </w:num>
  <w:num w:numId="146">
    <w:abstractNumId w:val="2"/>
  </w:num>
  <w:num w:numId="147">
    <w:abstractNumId w:val="2"/>
  </w:num>
  <w:num w:numId="148">
    <w:abstractNumId w:val="2"/>
  </w:num>
  <w:num w:numId="149">
    <w:abstractNumId w:val="2"/>
  </w:num>
  <w:num w:numId="150">
    <w:abstractNumId w:val="2"/>
  </w:num>
  <w:num w:numId="151">
    <w:abstractNumId w:val="2"/>
  </w:num>
  <w:num w:numId="152">
    <w:abstractNumId w:val="2"/>
  </w:num>
  <w:num w:numId="153">
    <w:abstractNumId w:val="2"/>
  </w:num>
  <w:num w:numId="154">
    <w:abstractNumId w:val="2"/>
  </w:num>
  <w:num w:numId="155">
    <w:abstractNumId w:val="2"/>
  </w:num>
  <w:num w:numId="156">
    <w:abstractNumId w:val="2"/>
  </w:num>
  <w:num w:numId="157">
    <w:abstractNumId w:val="2"/>
  </w:num>
  <w:num w:numId="158">
    <w:abstractNumId w:val="2"/>
  </w:num>
  <w:num w:numId="159">
    <w:abstractNumId w:val="2"/>
  </w:num>
  <w:num w:numId="160">
    <w:abstractNumId w:val="2"/>
  </w:num>
  <w:num w:numId="161">
    <w:abstractNumId w:val="2"/>
  </w:num>
  <w:num w:numId="162">
    <w:abstractNumId w:val="2"/>
  </w:num>
  <w:num w:numId="163">
    <w:abstractNumId w:val="2"/>
  </w:num>
  <w:num w:numId="164">
    <w:abstractNumId w:val="2"/>
  </w:num>
  <w:num w:numId="165">
    <w:abstractNumId w:val="2"/>
  </w:num>
  <w:num w:numId="166">
    <w:abstractNumId w:val="2"/>
  </w:num>
  <w:num w:numId="167">
    <w:abstractNumId w:val="2"/>
  </w:num>
  <w:num w:numId="168">
    <w:abstractNumId w:val="2"/>
  </w:num>
  <w:num w:numId="169">
    <w:abstractNumId w:val="2"/>
  </w:num>
  <w:num w:numId="170">
    <w:abstractNumId w:val="2"/>
  </w:num>
  <w:num w:numId="171">
    <w:abstractNumId w:val="2"/>
  </w:num>
  <w:num w:numId="172">
    <w:abstractNumId w:val="2"/>
  </w:num>
  <w:num w:numId="173">
    <w:abstractNumId w:val="2"/>
  </w:num>
  <w:num w:numId="174">
    <w:abstractNumId w:val="2"/>
  </w:num>
  <w:num w:numId="175">
    <w:abstractNumId w:val="2"/>
  </w:num>
  <w:num w:numId="176">
    <w:abstractNumId w:val="2"/>
  </w:num>
  <w:num w:numId="177">
    <w:abstractNumId w:val="2"/>
  </w:num>
  <w:num w:numId="178">
    <w:abstractNumId w:val="2"/>
  </w:num>
  <w:num w:numId="179">
    <w:abstractNumId w:val="2"/>
  </w:num>
  <w:num w:numId="180">
    <w:abstractNumId w:val="2"/>
  </w:num>
  <w:num w:numId="181">
    <w:abstractNumId w:val="2"/>
  </w:num>
  <w:num w:numId="182">
    <w:abstractNumId w:val="2"/>
  </w:num>
  <w:num w:numId="183">
    <w:abstractNumId w:val="2"/>
  </w:num>
  <w:num w:numId="184">
    <w:abstractNumId w:val="2"/>
  </w:num>
  <w:num w:numId="185">
    <w:abstractNumId w:val="2"/>
  </w:num>
  <w:num w:numId="186">
    <w:abstractNumId w:val="2"/>
  </w:num>
  <w:num w:numId="187">
    <w:abstractNumId w:val="2"/>
  </w:num>
  <w:num w:numId="188">
    <w:abstractNumId w:val="2"/>
  </w:num>
  <w:num w:numId="189">
    <w:abstractNumId w:val="2"/>
  </w:num>
  <w:num w:numId="190">
    <w:abstractNumId w:val="2"/>
  </w:num>
  <w:num w:numId="191">
    <w:abstractNumId w:val="2"/>
  </w:num>
  <w:num w:numId="192">
    <w:abstractNumId w:val="2"/>
  </w:num>
  <w:num w:numId="193">
    <w:abstractNumId w:val="2"/>
  </w:num>
  <w:num w:numId="194">
    <w:abstractNumId w:val="2"/>
  </w:num>
  <w:num w:numId="195">
    <w:abstractNumId w:val="2"/>
  </w:num>
  <w:num w:numId="196">
    <w:abstractNumId w:val="2"/>
  </w:num>
  <w:num w:numId="197">
    <w:abstractNumId w:val="2"/>
  </w:num>
  <w:num w:numId="198">
    <w:abstractNumId w:val="2"/>
  </w:num>
  <w:num w:numId="199">
    <w:abstractNumId w:val="2"/>
  </w:num>
  <w:num w:numId="200">
    <w:abstractNumId w:val="2"/>
  </w:num>
  <w:num w:numId="201">
    <w:abstractNumId w:val="2"/>
  </w:num>
  <w:num w:numId="202">
    <w:abstractNumId w:val="2"/>
  </w:num>
  <w:num w:numId="203">
    <w:abstractNumId w:val="2"/>
  </w:num>
  <w:num w:numId="204">
    <w:abstractNumId w:val="2"/>
  </w:num>
  <w:num w:numId="205">
    <w:abstractNumId w:val="2"/>
  </w:num>
  <w:num w:numId="206">
    <w:abstractNumId w:val="2"/>
  </w:num>
  <w:num w:numId="207">
    <w:abstractNumId w:val="2"/>
  </w:num>
  <w:num w:numId="208">
    <w:abstractNumId w:val="2"/>
  </w:num>
  <w:num w:numId="209">
    <w:abstractNumId w:val="2"/>
  </w:num>
  <w:num w:numId="210">
    <w:abstractNumId w:val="2"/>
  </w:num>
  <w:num w:numId="211">
    <w:abstractNumId w:val="2"/>
  </w:num>
  <w:num w:numId="212">
    <w:abstractNumId w:val="2"/>
  </w:num>
  <w:num w:numId="213">
    <w:abstractNumId w:val="2"/>
  </w:num>
  <w:num w:numId="214">
    <w:abstractNumId w:val="2"/>
  </w:num>
  <w:num w:numId="215">
    <w:abstractNumId w:val="2"/>
  </w:num>
  <w:num w:numId="216">
    <w:abstractNumId w:val="2"/>
  </w:num>
  <w:num w:numId="217">
    <w:abstractNumId w:val="2"/>
  </w:num>
  <w:num w:numId="218">
    <w:abstractNumId w:val="2"/>
  </w:num>
  <w:num w:numId="219">
    <w:abstractNumId w:val="2"/>
  </w:num>
  <w:num w:numId="220">
    <w:abstractNumId w:val="2"/>
  </w:num>
  <w:num w:numId="221">
    <w:abstractNumId w:val="2"/>
  </w:num>
  <w:num w:numId="222">
    <w:abstractNumId w:val="2"/>
  </w:num>
  <w:num w:numId="223">
    <w:abstractNumId w:val="2"/>
  </w:num>
  <w:num w:numId="224">
    <w:abstractNumId w:val="2"/>
  </w:num>
  <w:num w:numId="225">
    <w:abstractNumId w:val="2"/>
  </w:num>
  <w:num w:numId="226">
    <w:abstractNumId w:val="2"/>
  </w:num>
  <w:num w:numId="227">
    <w:abstractNumId w:val="2"/>
  </w:num>
  <w:num w:numId="228">
    <w:abstractNumId w:val="2"/>
  </w:num>
  <w:num w:numId="229">
    <w:abstractNumId w:val="2"/>
  </w:num>
  <w:num w:numId="230">
    <w:abstractNumId w:val="2"/>
  </w:num>
  <w:num w:numId="231">
    <w:abstractNumId w:val="2"/>
  </w:num>
  <w:num w:numId="232">
    <w:abstractNumId w:val="2"/>
  </w:num>
  <w:num w:numId="233">
    <w:abstractNumId w:val="2"/>
  </w:num>
  <w:num w:numId="234">
    <w:abstractNumId w:val="2"/>
  </w:num>
  <w:num w:numId="235">
    <w:abstractNumId w:val="2"/>
  </w:num>
  <w:num w:numId="236">
    <w:abstractNumId w:val="2"/>
  </w:num>
  <w:num w:numId="237">
    <w:abstractNumId w:val="2"/>
  </w:num>
  <w:num w:numId="238">
    <w:abstractNumId w:val="2"/>
  </w:num>
  <w:num w:numId="239">
    <w:abstractNumId w:val="2"/>
  </w:num>
  <w:num w:numId="240">
    <w:abstractNumId w:val="2"/>
  </w:num>
  <w:num w:numId="241">
    <w:abstractNumId w:val="2"/>
  </w:num>
  <w:num w:numId="242">
    <w:abstractNumId w:val="2"/>
  </w:num>
  <w:num w:numId="243">
    <w:abstractNumId w:val="2"/>
  </w:num>
  <w:num w:numId="244">
    <w:abstractNumId w:val="2"/>
  </w:num>
  <w:num w:numId="245">
    <w:abstractNumId w:val="2"/>
  </w:num>
  <w:num w:numId="246">
    <w:abstractNumId w:val="2"/>
  </w:num>
  <w:num w:numId="247">
    <w:abstractNumId w:val="2"/>
  </w:num>
  <w:num w:numId="248">
    <w:abstractNumId w:val="2"/>
  </w:num>
  <w:num w:numId="249">
    <w:abstractNumId w:val="2"/>
  </w:num>
  <w:num w:numId="250">
    <w:abstractNumId w:val="2"/>
  </w:num>
  <w:num w:numId="251">
    <w:abstractNumId w:val="2"/>
  </w:num>
  <w:num w:numId="252">
    <w:abstractNumId w:val="2"/>
  </w:num>
  <w:num w:numId="253">
    <w:abstractNumId w:val="2"/>
  </w:num>
  <w:num w:numId="254">
    <w:abstractNumId w:val="2"/>
  </w:num>
  <w:num w:numId="255">
    <w:abstractNumId w:val="2"/>
  </w:num>
  <w:num w:numId="256">
    <w:abstractNumId w:val="2"/>
  </w:num>
  <w:num w:numId="257">
    <w:abstractNumId w:val="2"/>
  </w:num>
  <w:num w:numId="258">
    <w:abstractNumId w:val="2"/>
  </w:num>
  <w:num w:numId="259">
    <w:abstractNumId w:val="2"/>
  </w:num>
  <w:num w:numId="260">
    <w:abstractNumId w:val="2"/>
  </w:num>
  <w:num w:numId="261">
    <w:abstractNumId w:val="2"/>
  </w:num>
  <w:num w:numId="262">
    <w:abstractNumId w:val="2"/>
  </w:num>
  <w:num w:numId="263">
    <w:abstractNumId w:val="2"/>
  </w:num>
  <w:num w:numId="264">
    <w:abstractNumId w:val="2"/>
  </w:num>
  <w:num w:numId="265">
    <w:abstractNumId w:val="2"/>
  </w:num>
  <w:num w:numId="266">
    <w:abstractNumId w:val="2"/>
  </w:num>
  <w:num w:numId="267">
    <w:abstractNumId w:val="2"/>
  </w:num>
  <w:num w:numId="268">
    <w:abstractNumId w:val="2"/>
  </w:num>
  <w:num w:numId="269">
    <w:abstractNumId w:val="2"/>
  </w:num>
  <w:num w:numId="270">
    <w:abstractNumId w:val="2"/>
  </w:num>
  <w:num w:numId="271">
    <w:abstractNumId w:val="2"/>
  </w:num>
  <w:num w:numId="272">
    <w:abstractNumId w:val="2"/>
  </w:num>
</w:numbering>
</file>

<file path=word/settings.xml><?xml version="1.0" encoding="utf-8"?>
<w:settings xmlns:w="http://schemas.openxmlformats.org/wordprocessingml/2006/main">
  <w:zoom w:percent="120"/>
  <w:mirrorMargins/>
  <w:defaultTabStop w:val="708"/>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ja-JP" w:bidi="ar-SA"/>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ＭＳ 明朝" w:cs="Times New Roman" w:eastAsiaTheme="minorEastAsia"/>
        <w:lang w:val="pt-BR" w:eastAsia="en-US" w:bidi="ar-SA"/>
      </w:rPr>
    </w:rPrDefault>
    <w:pPrDefault>
      <w:pPr>
        <w:suppressAutoHyphens w:val="true"/>
      </w:pPr>
    </w:pPrDefault>
  </w:docDefaults>
  <w:latentStyles w:defLockedState="0" w:defUIPriority="0" w:defSemiHidden="0" w:defUnhideWhenUsed="0" w:defQFormat="0" w:count="376">
    <w:lsdException w:name="heading 1" w:uiPriority="9"/>
    <w:lsdException w:name="heading 3" w:uiPriority="9" w:semiHidden="1" w:unhideWhenUsed="1" w:qFormat="1"/>
    <w:lsdException w:name="heading 4" w:semiHidden="1" w:unhideWhenUsed="1" w:qFormat="1"/>
    <w:lsdException w:name="heading 5" w:semiHidden="1" w:unhideWhenUsed="1" w:qFormat="1"/>
    <w:lsdException w:name="heading 6" w:uiPriority="9"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uiPriority="99"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uiPriority="1"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uiPriority="99"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99"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semiHidden="1" w:unhideWhenUsed="1"/>
    <w:lsdException w:name="Table Grid" w:uiPriority="39"/>
    <w:lsdException w:name="Table Theme" w:semiHidden="1" w:unhideWhenUsed="1"/>
    <w:lsdException w:name="Placeholder Text" w:uiPriority="67" w:semiHidden="1"/>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99" w:semiHidden="1"/>
    <w:lsdException w:name="List Paragraph" w:uiPriority="34"/>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name w:val="Normal"/>
    <w:qFormat/>
    <w:pPr>
      <w:widowControl/>
      <w:suppressAutoHyphens w:val="false"/>
      <w:bidi w:val="0"/>
      <w:spacing w:before="0" w:after="0"/>
      <w:jc w:val="left"/>
    </w:pPr>
    <w:rPr>
      <w:rFonts w:ascii="Times New Roman" w:hAnsi="Times New Roman" w:eastAsia="ＭＳ 明朝" w:cs="Times New Roman" w:eastAsiaTheme="minorEastAsia"/>
      <w:color w:val="auto"/>
      <w:kern w:val="0"/>
      <w:sz w:val="20"/>
      <w:szCs w:val="20"/>
      <w:lang w:val="pt-BR" w:eastAsia="en-US" w:bidi="ar-SA"/>
    </w:rPr>
  </w:style>
  <w:style w:type="character" w:styleId="DefaultParagraphFont" w:default="1">
    <w:name w:val="Default Paragraph Font"/>
    <w:uiPriority w:val="1"/>
    <w:semiHidden/>
    <w:unhideWhenUsed/>
    <w:qFormat/>
    <w:rPr/>
  </w:style>
  <w:style w:type="character" w:styleId="TextodebaloChar" w:customStyle="1">
    <w:name w:val="Texto de balão Char"/>
    <w:uiPriority w:val="99"/>
    <w:qFormat/>
    <w:rsid w:val="003a73c1"/>
    <w:rPr>
      <w:rFonts w:ascii="Tahoma" w:hAnsi="Tahoma" w:cs="Tahoma"/>
      <w:sz w:val="16"/>
      <w:szCs w:val="16"/>
    </w:rPr>
  </w:style>
  <w:style w:type="character" w:styleId="Ttulo2Char" w:customStyle="1">
    <w:name w:val="Título 2 Char"/>
    <w:qFormat/>
    <w:rsid w:val="004b460a"/>
    <w:rPr>
      <w:b/>
      <w:color w:val="000000"/>
      <w:sz w:val="24"/>
    </w:rPr>
  </w:style>
  <w:style w:type="character" w:styleId="Normalchar1" w:customStyle="1">
    <w:name w:val="normal__char1"/>
    <w:qFormat/>
    <w:rsid w:val="008d51cc"/>
    <w:rPr>
      <w:rFonts w:ascii="Arial" w:hAnsi="Arial" w:cs="Arial"/>
      <w:strike w:val="false"/>
      <w:dstrike w:val="false"/>
      <w:sz w:val="24"/>
      <w:szCs w:val="24"/>
      <w:u w:val="none"/>
      <w:effect w:val="none"/>
    </w:rPr>
  </w:style>
  <w:style w:type="character" w:styleId="Applestylespan" w:customStyle="1">
    <w:name w:val="apple-style-span"/>
    <w:basedOn w:val="DefaultParagraphFont"/>
    <w:qFormat/>
    <w:rsid w:val="00260802"/>
    <w:rPr/>
  </w:style>
  <w:style w:type="character" w:styleId="LinkdaInternet" w:customStyle="1">
    <w:name w:val="Link da Internet"/>
    <w:basedOn w:val="DefaultParagraphFont"/>
    <w:uiPriority w:val="99"/>
    <w:unhideWhenUsed/>
    <w:rsid w:val="00dc41dd"/>
    <w:rPr>
      <w:color w:val="0000FF" w:themeColor="hyperlink"/>
      <w:u w:val="single"/>
    </w:rPr>
  </w:style>
  <w:style w:type="character" w:styleId="CitaoChar" w:customStyle="1">
    <w:name w:val="Citação Char"/>
    <w:qFormat/>
    <w:rsid w:val="00080b53"/>
    <w:rPr>
      <w:rFonts w:ascii="Arial" w:hAnsi="Arial" w:eastAsia="Calibri" w:cs="Tahoma"/>
      <w:i/>
      <w:iCs/>
      <w:color w:val="000000"/>
      <w:szCs w:val="24"/>
      <w:shd w:fill="FFFFCC" w:val="clear"/>
    </w:rPr>
  </w:style>
  <w:style w:type="character" w:styleId="NotaexplicativaChar" w:customStyle="1">
    <w:name w:val="Nota explicativa Char"/>
    <w:basedOn w:val="CitaoChar"/>
    <w:qFormat/>
    <w:rsid w:val="00265fb6"/>
    <w:rPr>
      <w:rFonts w:ascii="Arial" w:hAnsi="Arial" w:eastAsia="Calibri" w:cs="Tahoma"/>
      <w:i/>
      <w:iCs/>
      <w:color w:val="000000"/>
      <w:szCs w:val="24"/>
      <w:shd w:fill="FFFFCC" w:val="clear"/>
    </w:rPr>
  </w:style>
  <w:style w:type="character" w:styleId="CabealhoChar" w:customStyle="1">
    <w:name w:val="Cabeçalho Char"/>
    <w:uiPriority w:val="99"/>
    <w:qFormat/>
    <w:rsid w:val="00ca24fb"/>
    <w:rPr>
      <w:rFonts w:ascii="Ecofont_Spranq_eco_Sans" w:hAnsi="Ecofont_Spranq_eco_Sans" w:cs="Tahoma"/>
      <w:sz w:val="24"/>
      <w:szCs w:val="24"/>
    </w:rPr>
  </w:style>
  <w:style w:type="character" w:styleId="RodapChar" w:customStyle="1">
    <w:name w:val="Rodapé Char"/>
    <w:uiPriority w:val="99"/>
    <w:qFormat/>
    <w:rsid w:val="00ca24fb"/>
    <w:rPr>
      <w:rFonts w:ascii="Ecofont_Spranq_eco_Sans" w:hAnsi="Ecofont_Spranq_eco_Sans" w:cs="Tahoma"/>
      <w:sz w:val="24"/>
      <w:szCs w:val="24"/>
    </w:rPr>
  </w:style>
  <w:style w:type="character" w:styleId="Annotationreference">
    <w:name w:val="annotation reference"/>
    <w:basedOn w:val="DefaultParagraphFont"/>
    <w:unhideWhenUsed/>
    <w:qFormat/>
    <w:rsid w:val="00430fdb"/>
    <w:rPr>
      <w:sz w:val="16"/>
      <w:szCs w:val="16"/>
    </w:rPr>
  </w:style>
  <w:style w:type="character" w:styleId="TextodecomentrioChar" w:customStyle="1">
    <w:name w:val="Texto de comentário Char"/>
    <w:basedOn w:val="DefaultParagraphFont"/>
    <w:uiPriority w:val="99"/>
    <w:qFormat/>
    <w:rsid w:val="00430fdb"/>
    <w:rPr>
      <w:rFonts w:ascii="Ecofont_Spranq_eco_Sans" w:hAnsi="Ecofont_Spranq_eco_Sans" w:cs="Tahoma"/>
      <w:lang w:eastAsia="pt-BR"/>
    </w:rPr>
  </w:style>
  <w:style w:type="character" w:styleId="AssuntodocomentrioChar" w:customStyle="1">
    <w:name w:val="Assunto do comentário Char"/>
    <w:basedOn w:val="TextodecomentrioChar"/>
    <w:uiPriority w:val="99"/>
    <w:semiHidden/>
    <w:qFormat/>
    <w:rsid w:val="00430fdb"/>
    <w:rPr>
      <w:rFonts w:ascii="Ecofont_Spranq_eco_Sans" w:hAnsi="Ecofont_Spranq_eco_Sans" w:cs="Tahoma"/>
      <w:b/>
      <w:bCs/>
      <w:lang w:eastAsia="pt-BR"/>
    </w:rPr>
  </w:style>
  <w:style w:type="character" w:styleId="Ttulo4Char" w:customStyle="1">
    <w:name w:val="Título 4 Char"/>
    <w:basedOn w:val="DefaultParagraphFont"/>
    <w:qFormat/>
    <w:rsid w:val="00a45a85"/>
    <w:rPr>
      <w:rFonts w:ascii="Calibri" w:hAnsi="Calibri" w:eastAsia="ＭＳ ゴシック" w:cs="Times New Roman" w:asciiTheme="majorHAnsi" w:cstheme="majorBidi" w:eastAsiaTheme="majorEastAsia" w:hAnsiTheme="majorHAnsi"/>
      <w:i/>
      <w:iCs/>
      <w:color w:val="365F91" w:themeColor="accent1" w:themeShade="bf"/>
      <w:sz w:val="24"/>
      <w:szCs w:val="24"/>
      <w:lang w:eastAsia="pt-BR"/>
    </w:rPr>
  </w:style>
  <w:style w:type="character" w:styleId="TtuloChar" w:customStyle="1">
    <w:name w:val="Título Char"/>
    <w:basedOn w:val="DefaultParagraphFont"/>
    <w:qFormat/>
    <w:rsid w:val="007f77ad"/>
    <w:rPr>
      <w:rFonts w:ascii="Calibri" w:hAnsi="Calibri" w:eastAsia="ＭＳ ゴシック" w:cs="Times New Roman" w:asciiTheme="majorHAnsi" w:cstheme="majorBidi" w:eastAsiaTheme="majorEastAsia" w:hAnsiTheme="majorHAnsi"/>
      <w:color w:val="17365D" w:themeColor="text2" w:themeShade="bf"/>
      <w:spacing w:val="5"/>
      <w:kern w:val="2"/>
      <w:sz w:val="52"/>
      <w:szCs w:val="52"/>
      <w:lang w:eastAsia="pt-BR"/>
    </w:rPr>
  </w:style>
  <w:style w:type="character" w:styleId="Nivel01Char" w:customStyle="1">
    <w:name w:val="Nivel 01 Char"/>
    <w:basedOn w:val="TtuloChar"/>
    <w:qFormat/>
    <w:rsid w:val="00881f44"/>
    <w:rPr>
      <w:rFonts w:ascii="Arial" w:hAnsi="Arial" w:eastAsia="ＭＳ ゴシック" w:cs="Arial" w:eastAsiaTheme="majorEastAsia"/>
      <w:b/>
      <w:bCs/>
      <w:color w:val="17365D" w:themeColor="text2" w:themeShade="bf"/>
      <w:spacing w:val="5"/>
      <w:kern w:val="2"/>
      <w:sz w:val="52"/>
      <w:szCs w:val="52"/>
      <w:lang w:eastAsia="pt-BR"/>
    </w:rPr>
  </w:style>
  <w:style w:type="character" w:styleId="Ttulo1Char" w:customStyle="1">
    <w:name w:val="Título 1 Char"/>
    <w:basedOn w:val="DefaultParagraphFont"/>
    <w:uiPriority w:val="9"/>
    <w:qFormat/>
    <w:rsid w:val="007f77ad"/>
    <w:rPr>
      <w:rFonts w:ascii="Calibri" w:hAnsi="Calibri" w:eastAsia="ＭＳ ゴシック" w:cs="Times New Roman" w:asciiTheme="majorHAnsi" w:cstheme="majorBidi" w:eastAsiaTheme="majorEastAsia" w:hAnsiTheme="majorHAnsi"/>
      <w:b/>
      <w:bCs/>
      <w:color w:val="365F91" w:themeColor="accent1" w:themeShade="bf"/>
      <w:sz w:val="28"/>
      <w:szCs w:val="28"/>
      <w:lang w:eastAsia="pt-BR"/>
    </w:rPr>
  </w:style>
  <w:style w:type="character" w:styleId="Nivel01TituloChar" w:customStyle="1">
    <w:name w:val="Nivel_01_Titulo Char"/>
    <w:basedOn w:val="Nivel01Char"/>
    <w:qFormat/>
    <w:rsid w:val="00e967ea"/>
    <w:rPr>
      <w:rFonts w:ascii="Arial" w:hAnsi="Arial" w:eastAsia="ＭＳ ゴシック" w:cs="Times New Roman" w:cstheme="majorBidi" w:eastAsiaTheme="majorEastAsia"/>
      <w:b/>
      <w:bCs/>
      <w:color w:val="000000" w:themeColor="text1"/>
      <w:spacing w:val="5"/>
      <w:kern w:val="2"/>
      <w:sz w:val="52"/>
      <w:szCs w:val="52"/>
      <w:lang w:eastAsia="pt-BR"/>
    </w:rPr>
  </w:style>
  <w:style w:type="character" w:styleId="QuoteChar" w:customStyle="1">
    <w:name w:val="Quote Char"/>
    <w:basedOn w:val="DefaultParagraphFont"/>
    <w:qFormat/>
    <w:rsid w:val="00b77761"/>
    <w:rPr>
      <w:rFonts w:ascii="Ecofont_Spranq_eco_Sans" w:hAnsi="Ecofont_Spranq_eco_Sans" w:eastAsia="Calibri" w:cs="Tahoma"/>
      <w:i/>
      <w:iCs/>
      <w:color w:val="000000"/>
      <w:shd w:fill="FFFFCC" w:val="clear"/>
    </w:rPr>
  </w:style>
  <w:style w:type="character" w:styleId="Normaltextrun" w:customStyle="1">
    <w:name w:val="normaltextrun"/>
    <w:basedOn w:val="DefaultParagraphFont"/>
    <w:qFormat/>
    <w:rsid w:val="0053119e"/>
    <w:rPr/>
  </w:style>
  <w:style w:type="character" w:styleId="Eop" w:customStyle="1">
    <w:name w:val="eop"/>
    <w:basedOn w:val="DefaultParagraphFont"/>
    <w:qFormat/>
    <w:rsid w:val="0053119e"/>
    <w:rPr/>
  </w:style>
  <w:style w:type="character" w:styleId="Spellingerror" w:customStyle="1">
    <w:name w:val="spellingerror"/>
    <w:basedOn w:val="DefaultParagraphFont"/>
    <w:qFormat/>
    <w:rsid w:val="0053119e"/>
    <w:rPr/>
  </w:style>
  <w:style w:type="character" w:styleId="CorpodetextoChar" w:customStyle="1">
    <w:name w:val="Corpo de texto Char"/>
    <w:basedOn w:val="DefaultParagraphFont"/>
    <w:uiPriority w:val="99"/>
    <w:qFormat/>
    <w:rsid w:val="00405763"/>
    <w:rPr>
      <w:rFonts w:eastAsia="Times New Roman"/>
      <w:sz w:val="24"/>
      <w:szCs w:val="24"/>
      <w:lang w:eastAsia="pt-BR"/>
    </w:rPr>
  </w:style>
  <w:style w:type="character" w:styleId="Nivel1Char" w:customStyle="1">
    <w:name w:val="Nivel1 Char"/>
    <w:basedOn w:val="Ttulo1Char"/>
    <w:qFormat/>
    <w:rsid w:val="001b6423"/>
    <w:rPr>
      <w:rFonts w:ascii="Arial" w:hAnsi="Arial" w:eastAsia="ＭＳ ゴシック" w:cs="Arial" w:eastAsiaTheme="majorEastAsia"/>
      <w:b/>
      <w:bCs w:val="false"/>
      <w:color w:val="000000"/>
      <w:sz w:val="28"/>
      <w:szCs w:val="28"/>
      <w:lang w:eastAsia="pt-BR"/>
    </w:rPr>
  </w:style>
  <w:style w:type="character" w:styleId="Nivel4Char" w:customStyle="1">
    <w:name w:val="Nivel 4 Char"/>
    <w:basedOn w:val="DefaultParagraphFont"/>
    <w:qFormat/>
    <w:rsid w:val="00da3ef1"/>
    <w:rPr>
      <w:rFonts w:ascii="Arial" w:hAnsi="Arial" w:cs="Arial"/>
      <w:lang w:eastAsia="pt-BR"/>
    </w:rPr>
  </w:style>
  <w:style w:type="character" w:styleId="Cp0020corpodespachochar1" w:customStyle="1">
    <w:name w:val="cp_0020corpodespacho__char1"/>
    <w:qFormat/>
    <w:rsid w:val="00d30a43"/>
    <w:rPr>
      <w:rFonts w:ascii="Times New Roman" w:hAnsi="Times New Roman" w:cs="Times New Roman"/>
      <w:strike w:val="false"/>
      <w:dstrike w:val="false"/>
      <w:sz w:val="26"/>
      <w:szCs w:val="26"/>
      <w:u w:val="none"/>
      <w:effect w:val="none"/>
    </w:rPr>
  </w:style>
  <w:style w:type="character" w:styleId="Em0020ementachar1" w:customStyle="1">
    <w:name w:val="em_0020ementa__char1"/>
    <w:qFormat/>
    <w:rsid w:val="00d30a43"/>
    <w:rPr>
      <w:rFonts w:ascii="Times New Roman" w:hAnsi="Times New Roman" w:cs="Times New Roman"/>
      <w:strike w:val="false"/>
      <w:dstrike w:val="false"/>
      <w:sz w:val="28"/>
      <w:szCs w:val="28"/>
      <w:u w:val="none"/>
      <w:effect w:val="none"/>
    </w:rPr>
  </w:style>
  <w:style w:type="character" w:styleId="Strong">
    <w:name w:val="Strong"/>
    <w:basedOn w:val="DefaultParagraphFont"/>
    <w:uiPriority w:val="22"/>
    <w:qFormat/>
    <w:rsid w:val="00d30a43"/>
    <w:rPr>
      <w:b/>
      <w:bCs/>
    </w:rPr>
  </w:style>
  <w:style w:type="character" w:styleId="Nfase">
    <w:name w:val="Ênfase"/>
    <w:basedOn w:val="DefaultParagraphFont"/>
    <w:uiPriority w:val="20"/>
    <w:qFormat/>
    <w:rsid w:val="00d30a43"/>
    <w:rPr>
      <w:i/>
      <w:iCs/>
    </w:rPr>
  </w:style>
  <w:style w:type="character" w:styleId="Manoel" w:customStyle="1">
    <w:name w:val="Manoel"/>
    <w:qFormat/>
    <w:rsid w:val="00d30a43"/>
    <w:rPr>
      <w:rFonts w:ascii="Arial" w:hAnsi="Arial" w:cs="Arial"/>
      <w:color w:val="7030A0"/>
      <w:sz w:val="20"/>
    </w:rPr>
  </w:style>
  <w:style w:type="character" w:styleId="GradeColoridanfase1Char" w:customStyle="1">
    <w:name w:val="Grade Colorida - Ênfase 1 Char"/>
    <w:uiPriority w:val="29"/>
    <w:qFormat/>
    <w:rsid w:val="00d30a43"/>
    <w:rPr>
      <w:rFonts w:ascii="Arial" w:hAnsi="Arial" w:eastAsia="Calibri"/>
      <w:i/>
      <w:iCs/>
      <w:color w:val="000000"/>
      <w:szCs w:val="24"/>
      <w:shd w:fill="FFFFCC" w:val="clear"/>
    </w:rPr>
  </w:style>
  <w:style w:type="character" w:styleId="Highlight" w:customStyle="1">
    <w:name w:val="highlight"/>
    <w:basedOn w:val="DefaultParagraphFont"/>
    <w:qFormat/>
    <w:rsid w:val="00d30a43"/>
    <w:rPr/>
  </w:style>
  <w:style w:type="character" w:styleId="Linkdainternetvisitado">
    <w:name w:val="Link da internet visitado"/>
    <w:basedOn w:val="DefaultParagraphFont"/>
    <w:uiPriority w:val="99"/>
    <w:semiHidden/>
    <w:unhideWhenUsed/>
    <w:rsid w:val="00d30a43"/>
    <w:rPr>
      <w:color w:val="800080" w:themeColor="followedHyperlink"/>
      <w:u w:val="single"/>
    </w:rPr>
  </w:style>
  <w:style w:type="character" w:styleId="MenoPendente1" w:customStyle="1">
    <w:name w:val="Menção Pendente1"/>
    <w:basedOn w:val="DefaultParagraphFont"/>
    <w:uiPriority w:val="99"/>
    <w:semiHidden/>
    <w:unhideWhenUsed/>
    <w:qFormat/>
    <w:rsid w:val="00d30a43"/>
    <w:rPr>
      <w:color w:val="605E5C"/>
      <w:shd w:fill="E1DFDD" w:val="clear"/>
    </w:rPr>
  </w:style>
  <w:style w:type="character" w:styleId="MenoPendente2" w:customStyle="1">
    <w:name w:val="Menção Pendente2"/>
    <w:basedOn w:val="DefaultParagraphFont"/>
    <w:uiPriority w:val="99"/>
    <w:semiHidden/>
    <w:unhideWhenUsed/>
    <w:qFormat/>
    <w:rsid w:val="0063029c"/>
    <w:rPr>
      <w:color w:val="605E5C"/>
      <w:shd w:fill="E1DFDD" w:val="clear"/>
    </w:rPr>
  </w:style>
  <w:style w:type="character" w:styleId="Nivel2Char" w:customStyle="1">
    <w:name w:val="Nivel 2 Char"/>
    <w:basedOn w:val="DefaultParagraphFont"/>
    <w:qFormat/>
    <w:locked/>
    <w:rsid w:val="0084242c"/>
    <w:rPr>
      <w:rFonts w:ascii="Arial" w:hAnsi="Arial" w:eastAsia="Arial" w:cs="Arial"/>
      <w:color w:val="000000"/>
      <w:lang w:eastAsia="pt-BR"/>
    </w:rPr>
  </w:style>
  <w:style w:type="character" w:styleId="Nvel2OpcionalChar" w:customStyle="1">
    <w:name w:val="Nível 2 Opcional Char"/>
    <w:basedOn w:val="DefaultParagraphFont"/>
    <w:qFormat/>
    <w:rsid w:val="00a831d9"/>
    <w:rPr>
      <w:rFonts w:ascii="Arial" w:hAnsi="Arial" w:eastAsia="Times New Roman" w:cs="Arial"/>
      <w:i/>
      <w:color w:val="FF0000"/>
      <w:lang w:eastAsia="pt-BR"/>
    </w:rPr>
  </w:style>
  <w:style w:type="character" w:styleId="Nvel3OpcionalChar" w:customStyle="1">
    <w:name w:val="Nível 3 Opcional Char"/>
    <w:basedOn w:val="DefaultParagraphFont"/>
    <w:qFormat/>
    <w:rsid w:val="00a831d9"/>
    <w:rPr>
      <w:rFonts w:ascii="Arial" w:hAnsi="Arial" w:eastAsia="Times New Roman" w:cs="Arial"/>
      <w:i/>
      <w:iCs/>
      <w:color w:val="FF0000"/>
      <w:lang w:eastAsia="pt-BR"/>
    </w:rPr>
  </w:style>
  <w:style w:type="character" w:styleId="PlaceholderText">
    <w:name w:val="Placeholder Text"/>
    <w:basedOn w:val="DefaultParagraphFont"/>
    <w:uiPriority w:val="67"/>
    <w:semiHidden/>
    <w:qFormat/>
    <w:rsid w:val="0029332d"/>
    <w:rPr>
      <w:color w:val="808080"/>
    </w:rPr>
  </w:style>
  <w:style w:type="character" w:styleId="PargrafodaListaChar" w:customStyle="1">
    <w:name w:val="Parágrafo da Lista Char"/>
    <w:basedOn w:val="DefaultParagraphFont"/>
    <w:uiPriority w:val="34"/>
    <w:qFormat/>
    <w:rsid w:val="002430f2"/>
    <w:rPr>
      <w:rFonts w:ascii="Ecofont_Spranq_eco_Sans" w:hAnsi="Ecofont_Spranq_eco_Sans" w:cs="Tahoma"/>
      <w:sz w:val="24"/>
      <w:szCs w:val="24"/>
      <w:lang w:eastAsia="pt-BR"/>
    </w:rPr>
  </w:style>
  <w:style w:type="character" w:styleId="Ttulo3Char" w:customStyle="1">
    <w:name w:val="Título 3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4"/>
      <w:szCs w:val="24"/>
    </w:rPr>
  </w:style>
  <w:style w:type="character" w:styleId="Ttulo6Char" w:customStyle="1">
    <w:name w:val="Título 6 Char"/>
    <w:basedOn w:val="DefaultParagraphFont"/>
    <w:uiPriority w:val="9"/>
    <w:semiHidden/>
    <w:qFormat/>
    <w:rsid w:val="00cb3192"/>
    <w:rPr>
      <w:rFonts w:ascii="Calibri" w:hAnsi="Calibri" w:eastAsia="ＭＳ ゴシック" w:cs="Times New Roman" w:asciiTheme="majorHAnsi" w:cstheme="majorBidi" w:eastAsiaTheme="majorEastAsia" w:hAnsiTheme="majorHAnsi"/>
      <w:color w:val="243F60" w:themeColor="accent1" w:themeShade="7f"/>
      <w:sz w:val="22"/>
      <w:szCs w:val="22"/>
    </w:rPr>
  </w:style>
  <w:style w:type="character" w:styleId="Markedcontent" w:customStyle="1">
    <w:name w:val="markedcontent"/>
    <w:basedOn w:val="DefaultParagraphFont"/>
    <w:qFormat/>
    <w:rsid w:val="00cb3192"/>
    <w:rPr/>
  </w:style>
  <w:style w:type="character" w:styleId="MenoPendente3" w:customStyle="1">
    <w:name w:val="Menção Pendente3"/>
    <w:basedOn w:val="DefaultParagraphFont"/>
    <w:uiPriority w:val="99"/>
    <w:semiHidden/>
    <w:unhideWhenUsed/>
    <w:qFormat/>
    <w:rsid w:val="00cb3192"/>
    <w:rPr>
      <w:color w:val="605E5C"/>
      <w:shd w:fill="E1DFDD" w:val="clear"/>
    </w:rPr>
  </w:style>
  <w:style w:type="character" w:styleId="MenoPendente4" w:customStyle="1">
    <w:name w:val="Menção Pendente4"/>
    <w:basedOn w:val="DefaultParagraphFont"/>
    <w:uiPriority w:val="99"/>
    <w:semiHidden/>
    <w:unhideWhenUsed/>
    <w:qFormat/>
    <w:rsid w:val="00cb3192"/>
    <w:rPr>
      <w:color w:val="605E5C"/>
      <w:shd w:fill="E1DFDD" w:val="clear"/>
    </w:rPr>
  </w:style>
  <w:style w:type="character" w:styleId="OuChar" w:customStyle="1">
    <w:name w:val="ou Char"/>
    <w:basedOn w:val="PargrafodaListaChar"/>
    <w:qFormat/>
    <w:rsid w:val="00f93d80"/>
    <w:rPr>
      <w:rFonts w:ascii="Arial" w:hAnsi="Arial" w:eastAsia="Cambria" w:cs="Arial" w:eastAsiaTheme="minorHAnsi"/>
      <w:b/>
      <w:bCs/>
      <w:i/>
      <w:iCs/>
      <w:color w:val="FF0000"/>
      <w:sz w:val="24"/>
      <w:szCs w:val="24"/>
      <w:u w:val="single"/>
      <w:lang w:eastAsia="pt-BR"/>
    </w:rPr>
  </w:style>
  <w:style w:type="character" w:styleId="Nvel2RedChar" w:customStyle="1">
    <w:name w:val="Nível 2 -Red Char"/>
    <w:basedOn w:val="Nivel2Char"/>
    <w:qFormat/>
    <w:rsid w:val="00da3ef1"/>
    <w:rPr>
      <w:rFonts w:ascii="Arial" w:hAnsi="Arial" w:eastAsia="Arial" w:cs="Arial"/>
      <w:i/>
      <w:iCs/>
      <w:color w:val="FF0000"/>
      <w:lang w:eastAsia="pt-BR"/>
    </w:rPr>
  </w:style>
  <w:style w:type="character" w:styleId="Nivel3Char" w:customStyle="1">
    <w:name w:val="Nivel 3 Char"/>
    <w:basedOn w:val="DefaultParagraphFont"/>
    <w:qFormat/>
    <w:rsid w:val="005d30b6"/>
    <w:rPr>
      <w:rFonts w:ascii="Arial" w:hAnsi="Arial" w:cs="Arial"/>
      <w:color w:val="000000"/>
      <w:lang w:eastAsia="pt-BR"/>
    </w:rPr>
  </w:style>
  <w:style w:type="character" w:styleId="Nvel3RChar" w:customStyle="1">
    <w:name w:val="Nível 3-R Char"/>
    <w:basedOn w:val="Nivel3Char"/>
    <w:qFormat/>
    <w:rsid w:val="00775cfb"/>
    <w:rPr>
      <w:rFonts w:ascii="Arial" w:hAnsi="Arial" w:cs="Arial"/>
      <w:i/>
      <w:iCs/>
      <w:color w:val="FF0000"/>
      <w:lang w:eastAsia="pt-BR"/>
    </w:rPr>
  </w:style>
  <w:style w:type="character" w:styleId="Nvel4RChar" w:customStyle="1">
    <w:name w:val="Nível 4-R Char"/>
    <w:basedOn w:val="Nivel4Char"/>
    <w:qFormat/>
    <w:rsid w:val="00da3ef1"/>
    <w:rPr>
      <w:rFonts w:ascii="Arial" w:hAnsi="Arial" w:cs="Arial"/>
      <w:i/>
      <w:iCs/>
      <w:color w:val="FF0000"/>
      <w:lang w:eastAsia="pt-BR"/>
    </w:rPr>
  </w:style>
  <w:style w:type="character" w:styleId="Nvel1SemNumChar" w:customStyle="1">
    <w:name w:val="Nível 1-Sem Num Char"/>
    <w:basedOn w:val="Nivel01Char"/>
    <w:qFormat/>
    <w:rsid w:val="00881f44"/>
    <w:rPr>
      <w:rFonts w:ascii="Arial" w:hAnsi="Arial" w:eastAsia="ＭＳ ゴシック" w:cs="Arial" w:eastAsiaTheme="majorEastAsia"/>
      <w:b/>
      <w:bCs/>
      <w:color w:val="FF0000"/>
      <w:spacing w:val="5"/>
      <w:kern w:val="2"/>
      <w:sz w:val="52"/>
      <w:szCs w:val="52"/>
      <w:lang w:eastAsia="pt-BR"/>
    </w:rPr>
  </w:style>
  <w:style w:type="character" w:styleId="PrembuloChar" w:customStyle="1">
    <w:name w:val="Preâmbulo Char"/>
    <w:basedOn w:val="DefaultParagraphFont"/>
    <w:qFormat/>
    <w:rsid w:val="00bb19e4"/>
    <w:rPr>
      <w:rFonts w:ascii="Arial" w:hAnsi="Arial" w:eastAsia="Arial" w:cs="Arial"/>
      <w:bCs/>
      <w:lang w:eastAsia="pt-BR"/>
    </w:rPr>
  </w:style>
  <w:style w:type="character" w:styleId="Mentionnonrsolue1" w:customStyle="1">
    <w:name w:val="Mention non résolue1"/>
    <w:basedOn w:val="DefaultParagraphFont"/>
    <w:uiPriority w:val="99"/>
    <w:semiHidden/>
    <w:unhideWhenUsed/>
    <w:qFormat/>
    <w:rsid w:val="008d252d"/>
    <w:rPr>
      <w:color w:val="605E5C"/>
      <w:shd w:fill="E1DFDD" w:val="clear"/>
    </w:rPr>
  </w:style>
  <w:style w:type="character" w:styleId="Findhit" w:customStyle="1">
    <w:name w:val="findhit"/>
    <w:basedOn w:val="DefaultParagraphFont"/>
    <w:qFormat/>
    <w:rsid w:val="00e66cc3"/>
    <w:rPr/>
  </w:style>
  <w:style w:type="character" w:styleId="Nivel3erroChar" w:customStyle="1">
    <w:name w:val="Nivel 3-erro Char"/>
    <w:basedOn w:val="DefaultParagraphFont"/>
    <w:qFormat/>
    <w:rsid w:val="005b0afb"/>
    <w:rPr>
      <w:rFonts w:ascii="Arial" w:hAnsi="Arial" w:cs="Tahoma"/>
      <w:szCs w:val="24"/>
      <w:lang w:eastAsia="pt-BR"/>
    </w:rPr>
  </w:style>
  <w:style w:type="character" w:styleId="AlteraesChar" w:customStyle="1">
    <w:name w:val="Alterações Char"/>
    <w:basedOn w:val="DefaultParagraphFont"/>
    <w:uiPriority w:val="1"/>
    <w:qFormat/>
    <w:rsid w:val="1414b7f7"/>
    <w:rPr>
      <w:rFonts w:ascii="Arial" w:hAnsi="Arial" w:cs="Arial"/>
      <w:i/>
      <w:iCs/>
      <w:color w:val="0000FF"/>
      <w:lang w:eastAsia="pt-BR"/>
    </w:rPr>
  </w:style>
  <w:style w:type="character" w:styleId="Mention">
    <w:name w:val="Mention"/>
    <w:basedOn w:val="DefaultParagraphFont"/>
    <w:uiPriority w:val="99"/>
    <w:unhideWhenUsed/>
    <w:qFormat/>
    <w:rsid w:val="002804a7"/>
    <w:rPr>
      <w:color w:val="2B579A"/>
      <w:shd w:fill="E6E6E6" w:val="clear"/>
    </w:rPr>
  </w:style>
  <w:style w:type="character" w:styleId="UnresolvedMention">
    <w:name w:val="Unresolved Mention"/>
    <w:basedOn w:val="DefaultParagraphFont"/>
    <w:uiPriority w:val="99"/>
    <w:semiHidden/>
    <w:unhideWhenUsed/>
    <w:qFormat/>
    <w:rsid w:val="00921a92"/>
    <w:rPr>
      <w:color w:val="605E5C"/>
      <w:shd w:fill="E1DFDD" w:val="clear"/>
    </w:rPr>
  </w:style>
  <w:style w:type="character" w:styleId="Nvel1SemNumPretoChar" w:customStyle="1">
    <w:name w:val="Nível 1-Sem Num Preto Char"/>
    <w:basedOn w:val="Nvel1SemNumChar"/>
    <w:qFormat/>
    <w:rsid w:val="00036ad7"/>
    <w:rPr>
      <w:rFonts w:ascii="Arial" w:hAnsi="Arial" w:eastAsia="ＭＳ ゴシック" w:cs="Arial" w:eastAsiaTheme="majorEastAsia"/>
      <w:b/>
      <w:bCs/>
      <w:color w:val="FF0000"/>
      <w:spacing w:val="5"/>
      <w:kern w:val="2"/>
      <w:sz w:val="52"/>
      <w:szCs w:val="52"/>
      <w:lang w:eastAsia="zh-CN" w:bidi="hi-IN"/>
    </w:rPr>
  </w:style>
  <w:style w:type="character" w:styleId="Fontepargpadro">
    <w:name w:val="Fonte parág. padrão"/>
    <w:qFormat/>
    <w:rPr/>
  </w:style>
  <w:style w:type="paragraph" w:styleId="Ttulo">
    <w:name w:val="Título"/>
    <w:basedOn w:val="Normal"/>
    <w:next w:val="Corpodotexto"/>
    <w:qFormat/>
    <w:pPr>
      <w:keepNext w:val="true"/>
      <w:spacing w:before="240" w:after="120"/>
    </w:pPr>
    <w:rPr>
      <w:rFonts w:ascii="Liberation Sans" w:hAnsi="Liberation Sans" w:eastAsia="Noto Sans CJK SC" w:cs="Lohit Devanagari"/>
      <w:sz w:val="28"/>
      <w:szCs w:val="28"/>
    </w:rPr>
  </w:style>
  <w:style w:type="paragraph" w:styleId="Corpodotexto">
    <w:name w:val="Body Text"/>
    <w:basedOn w:val="Normal"/>
    <w:pPr>
      <w:spacing w:lineRule="auto" w:line="276" w:before="0" w:after="140"/>
    </w:pPr>
    <w:rPr/>
  </w:style>
  <w:style w:type="paragraph" w:styleId="Lista">
    <w:name w:val="List"/>
    <w:basedOn w:val="Corpodotexto"/>
    <w:pPr/>
    <w:rPr>
      <w:rFonts w:cs="Lohit Devanagari"/>
    </w:rPr>
  </w:style>
  <w:style w:type="paragraph" w:styleId="Leg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bealhoeRodap">
    <w:name w:val="Cabeçalho e Rodapé"/>
    <w:basedOn w:val="Normal"/>
    <w:qFormat/>
    <w:pPr/>
    <w:rPr/>
  </w:style>
  <w:style w:type="paragraph" w:styleId="Cabealho">
    <w:name w:val="Header"/>
    <w:basedOn w:val="CabealhoeRodap"/>
    <w:pPr/>
    <w:rPr/>
  </w:style>
  <w:style w:type="paragraph" w:styleId="Rodap">
    <w:name w:val="Footer"/>
    <w:basedOn w:val="CabealhoeRodap"/>
    <w:pPr/>
    <w:rPr/>
  </w:style>
  <w:style w:type="paragraph" w:styleId="Contedodatabela">
    <w:name w:val="Conteúdo da tabela"/>
    <w:basedOn w:val="Normal"/>
    <w:qFormat/>
    <w:pPr>
      <w:widowControl w:val="false"/>
      <w:suppressLineNumbers/>
    </w:pPr>
    <w:rPr/>
  </w:style>
  <w:style w:type="paragraph" w:styleId="Ttulodetabela">
    <w:name w:val="Título de tabela"/>
    <w:basedOn w:val="Contedodatabela"/>
    <w:qFormat/>
    <w:pPr>
      <w:suppressLineNumbers/>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https://in.gov.br/en/web/dou/-/instrucao-normativa-seges/me-n-77-de-4-de-novembro-de-2022-441681061" TargetMode="External"/><Relationship Id="rId4" Type="http://schemas.openxmlformats.org/officeDocument/2006/relationships/hyperlink" Target="https://www.planalto.gov.br/ccivil_03/leis/lcp/lcp123.htm" TargetMode="External"/><Relationship Id="rId5" Type="http://schemas.openxmlformats.org/officeDocument/2006/relationships/hyperlink" Target="https://www.gov.br/compras/pt-br/acesso-a-informacao/legislacao/instrucoes-normativas/instrucao-normativa-no-53-de-8-de-julho-de-2020" TargetMode="External"/><Relationship Id="rId6" Type="http://schemas.openxmlformats.org/officeDocument/2006/relationships/hyperlink" Target="http://www.planalto.gov.br/ccivil_03/AGU/Pareceres/2019-2022/PRC-JL-01-2020.htm" TargetMode="External"/><Relationship Id="rId7" Type="http://schemas.openxmlformats.org/officeDocument/2006/relationships/hyperlink" Target="https://www.gov.br/empresas-e-negocios/pt-br/empreendedor" TargetMode="External"/><Relationship Id="rId8" Type="http://schemas.openxmlformats.org/officeDocument/2006/relationships/hyperlink" Target="https://www.gov.br/economia/pt-br/assuntos/drei/legislacao/arquivos/legislacoes-federais/indrei772020.pdf" TargetMode="External"/><Relationship Id="rId9" Type="http://schemas.openxmlformats.org/officeDocument/2006/relationships/hyperlink" Target="https://www.gov.br/trabalho-e-previdencia/pt-br/servicos/empregador/programa-de-alimentacao-do-trabalhador-pat/arquivos-legislacao/instrucoes-normativas/pat_in_971_2009.pdf" TargetMode="External"/><Relationship Id="rId10" Type="http://schemas.openxmlformats.org/officeDocument/2006/relationships/header" Target="header1.xml"/><Relationship Id="rId11" Type="http://schemas.openxmlformats.org/officeDocument/2006/relationships/footer" Target="footer1.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6662-ABDA-4499-9690-AB4396A4B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Application>LibreOffice/7.3.7.2$Linux_X86_64 LibreOffice_project/30$Build-2</Application>
  <AppVersion>15.0000</AppVersion>
  <Pages>9</Pages>
  <Words>5084</Words>
  <Characters>28949</Characters>
  <CharactersWithSpaces>33703</CharactersWithSpaces>
  <Paragraphs>237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2023-05-22T11:28:00Z</dcterms:created>
  <dc:creator/>
  <dc:description/>
  <dc:language>pt-BR</dc:language>
  <cp:lastModifiedBy/>
  <cp:lastPrinted>2023-10-18T10:45:17Z</cp:lastPrinted>
  <dcterms:modified xsi:type="dcterms:W3CDTF">2024-02-29T15:25:31Z</dcterms:modified>
  <cp:revision>28</cp:revision>
  <dc:subject/>
  <dc:title/>
</cp:coreProperties>
</file>

<file path=docProps/custom.xml><?xml version="1.0" encoding="utf-8"?>
<Properties xmlns="http://schemas.openxmlformats.org/officeDocument/2006/custom-properties" xmlns:vt="http://schemas.openxmlformats.org/officeDocument/2006/docPropsVTypes"/>
</file>